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jc w:val="center"/>
        <w:tblLayout w:type="fixed"/>
        <w:tblLook w:val="0000" w:firstRow="0" w:lastRow="0" w:firstColumn="0" w:lastColumn="0" w:noHBand="0" w:noVBand="0"/>
      </w:tblPr>
      <w:tblGrid>
        <w:gridCol w:w="9468"/>
      </w:tblGrid>
      <w:tr w:rsidR="008620EF" w:rsidRPr="005402C9" w14:paraId="6FB50508" w14:textId="77777777" w:rsidTr="00E376AD">
        <w:trPr>
          <w:jc w:val="center"/>
        </w:trPr>
        <w:tc>
          <w:tcPr>
            <w:tcW w:w="9468" w:type="dxa"/>
            <w:tcBorders>
              <w:bottom w:val="single" w:sz="4" w:space="0" w:color="333333"/>
            </w:tcBorders>
          </w:tcPr>
          <w:p w14:paraId="56C0FA6E" w14:textId="3AD3E962" w:rsidR="008620EF" w:rsidRPr="005402C9" w:rsidRDefault="00F60438" w:rsidP="00AB5FF3">
            <w:pPr>
              <w:keepNext/>
              <w:widowControl w:val="0"/>
              <w:spacing w:before="0" w:after="0" w:line="276" w:lineRule="auto"/>
              <w:ind w:left="1440" w:hanging="1440"/>
              <w:jc w:val="center"/>
              <w:rPr>
                <w:b/>
                <w:smallCaps/>
                <w:color w:val="7030A0"/>
                <w:sz w:val="22"/>
                <w:szCs w:val="22"/>
              </w:rPr>
            </w:pPr>
            <w:r w:rsidRPr="005402C9">
              <w:rPr>
                <w:sz w:val="22"/>
                <w:szCs w:val="22"/>
              </w:rPr>
              <w:t xml:space="preserve"> </w:t>
            </w:r>
          </w:p>
          <w:p w14:paraId="445443AC" w14:textId="77777777" w:rsidR="008620EF" w:rsidRPr="005402C9" w:rsidRDefault="00F60438" w:rsidP="00AB5FF3">
            <w:pPr>
              <w:widowControl w:val="0"/>
              <w:spacing w:before="0" w:after="0" w:line="276" w:lineRule="auto"/>
              <w:jc w:val="center"/>
              <w:rPr>
                <w:color w:val="7030A0"/>
                <w:sz w:val="22"/>
                <w:szCs w:val="22"/>
              </w:rPr>
            </w:pPr>
            <w:r w:rsidRPr="005402C9">
              <w:rPr>
                <w:b/>
                <w:smallCaps/>
                <w:color w:val="7030A0"/>
                <w:sz w:val="22"/>
                <w:szCs w:val="22"/>
              </w:rPr>
              <w:t>PLANUL NAȚIONAL DE REDRESARE ȘI REZILIENȚĂ</w:t>
            </w:r>
          </w:p>
        </w:tc>
      </w:tr>
      <w:tr w:rsidR="008620EF" w:rsidRPr="005402C9" w14:paraId="7EE81D32" w14:textId="77777777" w:rsidTr="00E376AD">
        <w:trPr>
          <w:trHeight w:val="1465"/>
          <w:jc w:val="center"/>
        </w:trPr>
        <w:tc>
          <w:tcPr>
            <w:tcW w:w="9468" w:type="dxa"/>
            <w:tcBorders>
              <w:top w:val="single" w:sz="4" w:space="0" w:color="333333"/>
              <w:bottom w:val="single" w:sz="4" w:space="0" w:color="333333"/>
            </w:tcBorders>
            <w:vAlign w:val="center"/>
          </w:tcPr>
          <w:p w14:paraId="0E8F0529" w14:textId="77777777" w:rsidR="008620EF" w:rsidRPr="005402C9" w:rsidRDefault="00F60438" w:rsidP="00AB5FF3">
            <w:pPr>
              <w:keepNext/>
              <w:widowControl w:val="0"/>
              <w:spacing w:before="0" w:after="0" w:line="276" w:lineRule="auto"/>
              <w:ind w:left="1440" w:hanging="1440"/>
              <w:jc w:val="center"/>
              <w:rPr>
                <w:b/>
                <w:smallCaps/>
                <w:color w:val="7030A0"/>
                <w:sz w:val="22"/>
                <w:szCs w:val="22"/>
              </w:rPr>
            </w:pPr>
            <w:r w:rsidRPr="005402C9">
              <w:rPr>
                <w:b/>
                <w:smallCaps/>
                <w:color w:val="7030A0"/>
                <w:sz w:val="22"/>
                <w:szCs w:val="22"/>
              </w:rPr>
              <w:t>GHID SPECIFIC - CONDIȚII DE ACCESARE A FONDURILOR EUROPENE</w:t>
            </w:r>
          </w:p>
          <w:p w14:paraId="1FC5B61C" w14:textId="77777777" w:rsidR="008620EF" w:rsidRPr="005402C9" w:rsidRDefault="00F60438" w:rsidP="00AB5FF3">
            <w:pPr>
              <w:keepNext/>
              <w:widowControl w:val="0"/>
              <w:spacing w:before="0" w:after="0" w:line="276" w:lineRule="auto"/>
              <w:jc w:val="center"/>
              <w:rPr>
                <w:b/>
                <w:smallCaps/>
                <w:color w:val="7030A0"/>
                <w:sz w:val="22"/>
                <w:szCs w:val="22"/>
              </w:rPr>
            </w:pPr>
            <w:r w:rsidRPr="005402C9">
              <w:rPr>
                <w:b/>
                <w:smallCaps/>
                <w:color w:val="7030A0"/>
                <w:sz w:val="22"/>
                <w:szCs w:val="22"/>
              </w:rPr>
              <w:t>AFERENTE PLANULUI NAȚIONAL DE REDRESARE ȘI REZILIENȚĂ</w:t>
            </w:r>
          </w:p>
        </w:tc>
      </w:tr>
      <w:tr w:rsidR="008620EF" w:rsidRPr="005402C9" w14:paraId="42C2A551" w14:textId="77777777" w:rsidTr="00E376AD">
        <w:trPr>
          <w:trHeight w:val="1465"/>
          <w:jc w:val="center"/>
        </w:trPr>
        <w:tc>
          <w:tcPr>
            <w:tcW w:w="9468" w:type="dxa"/>
            <w:tcBorders>
              <w:top w:val="single" w:sz="4" w:space="0" w:color="333333"/>
            </w:tcBorders>
          </w:tcPr>
          <w:p w14:paraId="29B4FCE1" w14:textId="77777777" w:rsidR="008620EF" w:rsidRPr="005402C9" w:rsidRDefault="00F60438" w:rsidP="00AB5FF3">
            <w:pPr>
              <w:widowControl w:val="0"/>
              <w:spacing w:line="276" w:lineRule="auto"/>
              <w:jc w:val="center"/>
              <w:rPr>
                <w:b/>
                <w:smallCaps/>
                <w:color w:val="7030A0"/>
                <w:sz w:val="22"/>
                <w:szCs w:val="22"/>
              </w:rPr>
            </w:pPr>
            <w:r w:rsidRPr="005402C9">
              <w:rPr>
                <w:b/>
                <w:smallCaps/>
                <w:color w:val="7030A0"/>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1F560501" w14:textId="77777777" w:rsidR="008620EF" w:rsidRPr="005402C9" w:rsidRDefault="008620EF" w:rsidP="00AB5FF3">
            <w:pPr>
              <w:widowControl w:val="0"/>
              <w:spacing w:line="276" w:lineRule="auto"/>
              <w:jc w:val="center"/>
              <w:rPr>
                <w:b/>
                <w:smallCaps/>
                <w:color w:val="7030A0"/>
                <w:sz w:val="22"/>
                <w:szCs w:val="22"/>
              </w:rPr>
            </w:pPr>
          </w:p>
          <w:p w14:paraId="420AB2DB" w14:textId="77777777" w:rsidR="008620EF" w:rsidRPr="005402C9" w:rsidRDefault="00F60438" w:rsidP="00AB5FF3">
            <w:pPr>
              <w:widowControl w:val="0"/>
              <w:spacing w:line="276" w:lineRule="auto"/>
              <w:jc w:val="center"/>
              <w:rPr>
                <w:b/>
                <w:smallCaps/>
                <w:color w:val="7030A0"/>
                <w:sz w:val="22"/>
                <w:szCs w:val="22"/>
              </w:rPr>
            </w:pPr>
            <w:r w:rsidRPr="005402C9">
              <w:rPr>
                <w:b/>
                <w:smallCaps/>
                <w:color w:val="7030A0"/>
                <w:sz w:val="22"/>
                <w:szCs w:val="22"/>
              </w:rPr>
              <w:t>COMPONENTA C9. SUPORT PENTRU SECTORUL PRIVAT, CERCETARE, DEZVOLTARE ȘI INOVARE</w:t>
            </w:r>
          </w:p>
          <w:p w14:paraId="2F7C5DF1" w14:textId="77777777" w:rsidR="008620EF" w:rsidRPr="005402C9" w:rsidRDefault="008620EF" w:rsidP="00AB5FF3">
            <w:pPr>
              <w:widowControl w:val="0"/>
              <w:spacing w:line="276" w:lineRule="auto"/>
              <w:jc w:val="center"/>
              <w:rPr>
                <w:b/>
                <w:smallCaps/>
                <w:color w:val="7030A0"/>
                <w:sz w:val="22"/>
                <w:szCs w:val="22"/>
              </w:rPr>
            </w:pPr>
          </w:p>
          <w:p w14:paraId="512CACFC" w14:textId="77777777" w:rsidR="008620EF" w:rsidRPr="005402C9" w:rsidRDefault="00F60438" w:rsidP="00AB5FF3">
            <w:pPr>
              <w:widowControl w:val="0"/>
              <w:spacing w:line="276" w:lineRule="auto"/>
              <w:jc w:val="center"/>
              <w:rPr>
                <w:b/>
                <w:smallCaps/>
                <w:color w:val="7030A0"/>
                <w:sz w:val="22"/>
                <w:szCs w:val="22"/>
              </w:rPr>
            </w:pPr>
            <w:bookmarkStart w:id="0" w:name="_Hlk138240099"/>
            <w:r w:rsidRPr="005402C9">
              <w:rPr>
                <w:b/>
                <w:smallCaps/>
                <w:color w:val="7030A0"/>
                <w:sz w:val="22"/>
                <w:szCs w:val="22"/>
              </w:rPr>
              <w:t>INVESTIȚIA I4. PROIECTE TRANSFRONTALIERE ȘI MULTINAȚIONALE – PROCESOARE CU CONSUM REDUS DE ENERGIE ȘI CIPURI SEMICONDUCTOARE</w:t>
            </w:r>
          </w:p>
          <w:p w14:paraId="39F50F7F" w14:textId="77777777" w:rsidR="008620EF" w:rsidRPr="005402C9" w:rsidRDefault="008620EF" w:rsidP="00AB5FF3">
            <w:pPr>
              <w:widowControl w:val="0"/>
              <w:spacing w:line="276" w:lineRule="auto"/>
              <w:jc w:val="center"/>
              <w:rPr>
                <w:b/>
                <w:smallCaps/>
                <w:color w:val="7030A0"/>
                <w:sz w:val="22"/>
                <w:szCs w:val="22"/>
              </w:rPr>
            </w:pPr>
            <w:bookmarkStart w:id="1" w:name="_Hlk137736522"/>
            <w:bookmarkEnd w:id="1"/>
          </w:p>
          <w:p w14:paraId="09604DB6" w14:textId="76E586EE" w:rsidR="008620EF" w:rsidRPr="005402C9" w:rsidRDefault="00F60438" w:rsidP="00AB5FF3">
            <w:pPr>
              <w:widowControl w:val="0"/>
              <w:spacing w:line="276" w:lineRule="auto"/>
              <w:jc w:val="center"/>
              <w:rPr>
                <w:b/>
                <w:smallCaps/>
                <w:color w:val="7030A0"/>
                <w:sz w:val="22"/>
                <w:szCs w:val="22"/>
              </w:rPr>
            </w:pPr>
            <w:r w:rsidRPr="005402C9">
              <w:rPr>
                <w:b/>
                <w:smallCaps/>
                <w:color w:val="7030A0"/>
                <w:sz w:val="22"/>
                <w:szCs w:val="22"/>
              </w:rPr>
              <w:t>APELUL DE PROIECTE „</w:t>
            </w:r>
            <w:r w:rsidRPr="005402C9">
              <w:rPr>
                <w:b/>
                <w:i/>
                <w:iCs/>
                <w:smallCaps/>
                <w:color w:val="7030A0"/>
                <w:sz w:val="22"/>
                <w:szCs w:val="22"/>
              </w:rPr>
              <w:t xml:space="preserve">PIIEC ME/CT – PARTICIPANȚI </w:t>
            </w:r>
            <w:r w:rsidR="006C3B9C" w:rsidRPr="005402C9">
              <w:rPr>
                <w:b/>
                <w:i/>
                <w:iCs/>
                <w:smallCaps/>
                <w:color w:val="7030A0"/>
                <w:sz w:val="22"/>
                <w:szCs w:val="22"/>
              </w:rPr>
              <w:t>IN</w:t>
            </w:r>
            <w:r w:rsidRPr="005402C9">
              <w:rPr>
                <w:b/>
                <w:i/>
                <w:iCs/>
                <w:smallCaps/>
                <w:color w:val="7030A0"/>
                <w:sz w:val="22"/>
                <w:szCs w:val="22"/>
              </w:rPr>
              <w:t>DIRECȚI</w:t>
            </w:r>
            <w:r w:rsidRPr="005402C9">
              <w:rPr>
                <w:b/>
                <w:smallCaps/>
                <w:color w:val="7030A0"/>
                <w:sz w:val="22"/>
                <w:szCs w:val="22"/>
              </w:rPr>
              <w:t>”</w:t>
            </w:r>
          </w:p>
          <w:bookmarkEnd w:id="0"/>
          <w:p w14:paraId="4E91F909" w14:textId="77777777" w:rsidR="008620EF" w:rsidRPr="005402C9" w:rsidRDefault="008620EF" w:rsidP="00AB5FF3">
            <w:pPr>
              <w:widowControl w:val="0"/>
              <w:spacing w:line="276" w:lineRule="auto"/>
              <w:jc w:val="center"/>
              <w:rPr>
                <w:b/>
                <w:smallCaps/>
                <w:color w:val="7030A0"/>
                <w:sz w:val="22"/>
                <w:szCs w:val="22"/>
              </w:rPr>
            </w:pPr>
          </w:p>
          <w:p w14:paraId="510BB7C5" w14:textId="77777777" w:rsidR="008620EF" w:rsidRPr="005402C9" w:rsidRDefault="00F60438" w:rsidP="00AB5FF3">
            <w:pPr>
              <w:widowControl w:val="0"/>
              <w:spacing w:line="276" w:lineRule="auto"/>
              <w:jc w:val="center"/>
              <w:rPr>
                <w:b/>
                <w:smallCaps/>
                <w:color w:val="7030A0"/>
                <w:sz w:val="22"/>
                <w:szCs w:val="22"/>
              </w:rPr>
            </w:pPr>
            <w:r w:rsidRPr="005402C9">
              <w:rPr>
                <w:b/>
                <w:smallCaps/>
                <w:color w:val="7030A0"/>
                <w:sz w:val="22"/>
                <w:szCs w:val="22"/>
              </w:rPr>
              <w:t>MINISTERUL INVESTIȚIILOR ȘI PROIECTELOR EUROPENE - COORDONATOR DE REFORME ȘI INVESTIȚII</w:t>
            </w:r>
          </w:p>
          <w:p w14:paraId="1378AA03" w14:textId="77777777" w:rsidR="008620EF" w:rsidRPr="005402C9" w:rsidRDefault="00F60438" w:rsidP="00AB5FF3">
            <w:pPr>
              <w:widowControl w:val="0"/>
              <w:spacing w:line="276" w:lineRule="auto"/>
              <w:jc w:val="center"/>
              <w:rPr>
                <w:b/>
                <w:smallCaps/>
                <w:color w:val="7030A0"/>
                <w:sz w:val="22"/>
                <w:szCs w:val="22"/>
              </w:rPr>
            </w:pPr>
            <w:r w:rsidRPr="005402C9">
              <w:rPr>
                <w:b/>
                <w:smallCaps/>
                <w:color w:val="7030A0"/>
                <w:sz w:val="22"/>
                <w:szCs w:val="22"/>
              </w:rPr>
              <w:t>DIRECȚIA GENERALĂ IMPLEMENTARE PNNR ȘI INSTRUMENTE FINANCIARE</w:t>
            </w:r>
          </w:p>
          <w:p w14:paraId="171EDE87" w14:textId="77777777" w:rsidR="008620EF" w:rsidRPr="005402C9" w:rsidRDefault="00F60438" w:rsidP="00AB5FF3">
            <w:pPr>
              <w:widowControl w:val="0"/>
              <w:spacing w:line="276" w:lineRule="auto"/>
              <w:jc w:val="center"/>
              <w:rPr>
                <w:b/>
                <w:smallCaps/>
                <w:color w:val="7030A0"/>
                <w:sz w:val="22"/>
                <w:szCs w:val="22"/>
              </w:rPr>
            </w:pPr>
            <w:r w:rsidRPr="005402C9">
              <w:rPr>
                <w:b/>
                <w:smallCaps/>
                <w:color w:val="7030A0"/>
                <w:sz w:val="22"/>
                <w:szCs w:val="22"/>
              </w:rPr>
              <w:t>ADRESĂ: ȘOS. BUCURESTI-PLOIESTI, NR. 1–1B, VICTORIA OFFICE INTRAREA STR. MENUETULUI, NR. 7, SECTOR 1, BUCUREȘTI</w:t>
            </w:r>
          </w:p>
          <w:p w14:paraId="164BA5AE" w14:textId="42DB9679" w:rsidR="008620EF" w:rsidRPr="005402C9" w:rsidRDefault="00F60438" w:rsidP="00AB5FF3">
            <w:pPr>
              <w:widowControl w:val="0"/>
              <w:spacing w:line="276" w:lineRule="auto"/>
              <w:jc w:val="center"/>
              <w:rPr>
                <w:rStyle w:val="Strong"/>
                <w:rFonts w:eastAsia="Times New Roman" w:cs="Times New Roman"/>
                <w:sz w:val="22"/>
                <w:szCs w:val="22"/>
                <w:lang w:eastAsia="ro-RO"/>
              </w:rPr>
            </w:pPr>
            <w:r w:rsidRPr="005402C9">
              <w:rPr>
                <w:b/>
                <w:smallCaps/>
                <w:color w:val="7030A0"/>
                <w:sz w:val="22"/>
                <w:szCs w:val="22"/>
              </w:rPr>
              <w:t xml:space="preserve">E-MAIL: </w:t>
            </w:r>
            <w:hyperlink r:id="rId8">
              <w:r w:rsidRPr="005402C9">
                <w:rPr>
                  <w:rStyle w:val="Hyperlink"/>
                  <w:rFonts w:eastAsia="Times New Roman" w:cs="Times New Roman"/>
                  <w:sz w:val="22"/>
                  <w:szCs w:val="22"/>
                  <w:lang w:eastAsia="ro-RO"/>
                </w:rPr>
                <w:t>contact.implementarepnrr@mfe.gov.ro</w:t>
              </w:r>
            </w:hyperlink>
          </w:p>
          <w:p w14:paraId="6283D487" w14:textId="77777777" w:rsidR="005F2418" w:rsidRPr="005402C9" w:rsidRDefault="005F2418" w:rsidP="00AB5FF3">
            <w:pPr>
              <w:widowControl w:val="0"/>
              <w:spacing w:line="276" w:lineRule="auto"/>
              <w:jc w:val="center"/>
              <w:rPr>
                <w:sz w:val="22"/>
                <w:szCs w:val="22"/>
              </w:rPr>
            </w:pPr>
          </w:p>
          <w:p w14:paraId="6F1FC65F" w14:textId="6517DFF7" w:rsidR="008620EF" w:rsidRPr="005402C9" w:rsidRDefault="005F2418" w:rsidP="00AB5FF3">
            <w:pPr>
              <w:widowControl w:val="0"/>
              <w:spacing w:line="276" w:lineRule="auto"/>
              <w:jc w:val="center"/>
              <w:rPr>
                <w:b/>
                <w:smallCaps/>
                <w:color w:val="7030A0"/>
                <w:sz w:val="22"/>
                <w:szCs w:val="22"/>
              </w:rPr>
            </w:pPr>
            <w:r w:rsidRPr="005402C9">
              <w:rPr>
                <w:b/>
                <w:smallCaps/>
                <w:color w:val="7030A0"/>
                <w:sz w:val="22"/>
                <w:szCs w:val="22"/>
              </w:rPr>
              <w:t xml:space="preserve">MINISTERUL ECONOMIEI, ANTREPRENORIATULUI ȘI TURISMULUI – </w:t>
            </w:r>
            <w:r w:rsidR="00DE137E" w:rsidRPr="005402C9">
              <w:rPr>
                <w:b/>
                <w:smallCaps/>
                <w:color w:val="7030A0"/>
                <w:sz w:val="22"/>
                <w:szCs w:val="22"/>
              </w:rPr>
              <w:t>AGENȚIE DE IMPLEMENTARE</w:t>
            </w:r>
          </w:p>
          <w:p w14:paraId="103B37E7" w14:textId="5D4B7D71" w:rsidR="00587FAF" w:rsidRPr="005402C9" w:rsidRDefault="00587FAF" w:rsidP="00AB5FF3">
            <w:pPr>
              <w:widowControl w:val="0"/>
              <w:spacing w:line="276" w:lineRule="auto"/>
              <w:jc w:val="center"/>
              <w:rPr>
                <w:b/>
                <w:smallCaps/>
                <w:color w:val="7030A0"/>
                <w:sz w:val="22"/>
                <w:szCs w:val="22"/>
              </w:rPr>
            </w:pPr>
            <w:r w:rsidRPr="005402C9">
              <w:rPr>
                <w:b/>
                <w:smallCaps/>
                <w:color w:val="7030A0"/>
                <w:sz w:val="22"/>
                <w:szCs w:val="22"/>
              </w:rPr>
              <w:t xml:space="preserve">DIRECȚIA POLITICI INDUSTRIALE ȘI COMPETITIVITATE </w:t>
            </w:r>
          </w:p>
          <w:p w14:paraId="310A1343" w14:textId="4AD9B4E2" w:rsidR="008620EF" w:rsidRPr="005402C9" w:rsidRDefault="005F2418" w:rsidP="00AB5FF3">
            <w:pPr>
              <w:widowControl w:val="0"/>
              <w:spacing w:line="276" w:lineRule="auto"/>
              <w:jc w:val="center"/>
              <w:rPr>
                <w:b/>
                <w:smallCaps/>
                <w:color w:val="7030A0"/>
                <w:sz w:val="22"/>
                <w:szCs w:val="22"/>
              </w:rPr>
            </w:pPr>
            <w:r w:rsidRPr="005402C9">
              <w:rPr>
                <w:b/>
                <w:smallCaps/>
                <w:color w:val="7030A0"/>
                <w:sz w:val="22"/>
                <w:szCs w:val="22"/>
              </w:rPr>
              <w:t xml:space="preserve">ADRESĂ: CALEA VICTORIEI NR. 152, BUCUREȘTI </w:t>
            </w:r>
          </w:p>
          <w:p w14:paraId="6FCCF421" w14:textId="404F6F9A" w:rsidR="005F2418" w:rsidRPr="005402C9" w:rsidRDefault="005F2418" w:rsidP="00AB5FF3">
            <w:pPr>
              <w:widowControl w:val="0"/>
              <w:spacing w:line="276" w:lineRule="auto"/>
              <w:jc w:val="center"/>
              <w:rPr>
                <w:sz w:val="22"/>
                <w:szCs w:val="22"/>
              </w:rPr>
            </w:pPr>
            <w:r w:rsidRPr="005402C9">
              <w:rPr>
                <w:b/>
                <w:smallCaps/>
                <w:color w:val="7030A0"/>
                <w:sz w:val="22"/>
                <w:szCs w:val="22"/>
              </w:rPr>
              <w:t>E-MAIL:</w:t>
            </w:r>
            <w:r w:rsidRPr="005402C9">
              <w:rPr>
                <w:sz w:val="22"/>
                <w:szCs w:val="22"/>
              </w:rPr>
              <w:t xml:space="preserve">  </w:t>
            </w:r>
            <w:r w:rsidR="002C6385" w:rsidRPr="005402C9">
              <w:rPr>
                <w:rStyle w:val="Hyperlink"/>
                <w:rFonts w:eastAsia="Times New Roman" w:cs="Times New Roman"/>
                <w:sz w:val="22"/>
                <w:szCs w:val="22"/>
                <w:lang w:eastAsia="ro-RO"/>
              </w:rPr>
              <w:t>office.minister@economie.gov.ro</w:t>
            </w:r>
          </w:p>
          <w:p w14:paraId="6A91C8C7" w14:textId="77777777" w:rsidR="008620EF" w:rsidRPr="005402C9" w:rsidRDefault="008620EF" w:rsidP="00AB5FF3">
            <w:pPr>
              <w:widowControl w:val="0"/>
              <w:spacing w:line="276" w:lineRule="auto"/>
              <w:jc w:val="center"/>
              <w:rPr>
                <w:b/>
                <w:smallCaps/>
                <w:color w:val="7030A0"/>
                <w:sz w:val="22"/>
                <w:szCs w:val="22"/>
              </w:rPr>
            </w:pPr>
          </w:p>
          <w:p w14:paraId="75D07985" w14:textId="77777777" w:rsidR="008620EF" w:rsidRPr="005402C9" w:rsidRDefault="008620EF" w:rsidP="00AB5FF3">
            <w:pPr>
              <w:widowControl w:val="0"/>
              <w:spacing w:line="276" w:lineRule="auto"/>
              <w:jc w:val="center"/>
              <w:rPr>
                <w:b/>
                <w:smallCaps/>
                <w:color w:val="7030A0"/>
                <w:sz w:val="22"/>
                <w:szCs w:val="22"/>
              </w:rPr>
            </w:pPr>
          </w:p>
          <w:p w14:paraId="59D2CD7D" w14:textId="77777777" w:rsidR="008620EF" w:rsidRPr="005402C9" w:rsidRDefault="008620EF" w:rsidP="00AB5FF3">
            <w:pPr>
              <w:widowControl w:val="0"/>
              <w:spacing w:line="276" w:lineRule="auto"/>
              <w:jc w:val="center"/>
              <w:rPr>
                <w:b/>
                <w:smallCaps/>
                <w:color w:val="7030A0"/>
                <w:sz w:val="22"/>
                <w:szCs w:val="22"/>
              </w:rPr>
            </w:pPr>
          </w:p>
          <w:p w14:paraId="07221D17" w14:textId="77777777" w:rsidR="008620EF" w:rsidRPr="005402C9" w:rsidRDefault="008620EF" w:rsidP="00AB5FF3">
            <w:pPr>
              <w:widowControl w:val="0"/>
              <w:spacing w:line="276" w:lineRule="auto"/>
              <w:rPr>
                <w:b/>
                <w:smallCaps/>
                <w:color w:val="7030A0"/>
                <w:sz w:val="22"/>
                <w:szCs w:val="22"/>
              </w:rPr>
            </w:pPr>
          </w:p>
        </w:tc>
      </w:tr>
    </w:tbl>
    <w:p w14:paraId="404CE37A" w14:textId="77777777" w:rsidR="008620EF" w:rsidRPr="005402C9" w:rsidRDefault="008620EF" w:rsidP="00AB5FF3">
      <w:pPr>
        <w:spacing w:before="0" w:after="0" w:line="276" w:lineRule="auto"/>
        <w:jc w:val="both"/>
        <w:rPr>
          <w:sz w:val="22"/>
          <w:szCs w:val="22"/>
        </w:rPr>
      </w:pPr>
    </w:p>
    <w:p w14:paraId="60BF8AFF" w14:textId="77777777" w:rsidR="008620EF" w:rsidRPr="005402C9" w:rsidRDefault="00F60438" w:rsidP="00AB5FF3">
      <w:pPr>
        <w:spacing w:before="0" w:after="0" w:line="276" w:lineRule="auto"/>
        <w:jc w:val="both"/>
        <w:rPr>
          <w:sz w:val="22"/>
          <w:szCs w:val="22"/>
        </w:rPr>
      </w:pPr>
      <w:r w:rsidRPr="005402C9">
        <w:rPr>
          <w:b/>
          <w:color w:val="7030A0"/>
          <w:sz w:val="22"/>
          <w:szCs w:val="22"/>
          <w:u w:val="single"/>
        </w:rPr>
        <w:lastRenderedPageBreak/>
        <w:t>PREAMBUL</w:t>
      </w:r>
    </w:p>
    <w:p w14:paraId="2F444403" w14:textId="77777777" w:rsidR="008620EF" w:rsidRPr="005402C9" w:rsidRDefault="008620EF" w:rsidP="00AB5FF3">
      <w:pPr>
        <w:spacing w:before="0" w:after="0" w:line="276" w:lineRule="auto"/>
        <w:jc w:val="both"/>
        <w:rPr>
          <w:sz w:val="22"/>
          <w:szCs w:val="22"/>
          <w:u w:val="single"/>
        </w:rPr>
      </w:pPr>
    </w:p>
    <w:p w14:paraId="68F1E5BA" w14:textId="509FC256" w:rsidR="008620EF" w:rsidRPr="005402C9" w:rsidRDefault="00F60438" w:rsidP="00AB5FF3">
      <w:pPr>
        <w:spacing w:line="276" w:lineRule="auto"/>
        <w:jc w:val="both"/>
        <w:rPr>
          <w:sz w:val="22"/>
          <w:szCs w:val="22"/>
        </w:rPr>
      </w:pPr>
      <w:r w:rsidRPr="005402C9">
        <w:rPr>
          <w:sz w:val="22"/>
          <w:szCs w:val="22"/>
        </w:rPr>
        <w:t xml:space="preserve">Acest document se aplică apelului de proiecte aferent Componentei C9. SUPORT PENTRU SECTORUL PRIVAT, CERCETARE, DEZVOLTARE ȘI INOVARE, </w:t>
      </w:r>
      <w:r w:rsidRPr="005402C9">
        <w:rPr>
          <w:sz w:val="23"/>
          <w:szCs w:val="23"/>
        </w:rPr>
        <w:t>Investi</w:t>
      </w:r>
      <w:r w:rsidRPr="005402C9">
        <w:rPr>
          <w:rFonts w:eastAsia="TimesNewRomanPSMT" w:cs="TimesNewRomanPSMT"/>
          <w:sz w:val="23"/>
          <w:szCs w:val="23"/>
        </w:rPr>
        <w:t>ț</w:t>
      </w:r>
      <w:r w:rsidRPr="005402C9">
        <w:rPr>
          <w:rFonts w:eastAsia="TimesNewRomanPSMT"/>
          <w:sz w:val="23"/>
          <w:szCs w:val="23"/>
        </w:rPr>
        <w:t xml:space="preserve">ia I4. Proiecte transfrontaliere </w:t>
      </w:r>
      <w:r w:rsidRPr="005402C9">
        <w:rPr>
          <w:rFonts w:eastAsia="TimesNewRomanPSMT" w:cs="TimesNewRomanPSMT"/>
          <w:sz w:val="23"/>
          <w:szCs w:val="23"/>
        </w:rPr>
        <w:t>ș</w:t>
      </w:r>
      <w:r w:rsidRPr="005402C9">
        <w:rPr>
          <w:rFonts w:eastAsia="TimesNewRomanPSMT"/>
          <w:sz w:val="23"/>
          <w:szCs w:val="23"/>
        </w:rPr>
        <w:t>i multina</w:t>
      </w:r>
      <w:r w:rsidRPr="005402C9">
        <w:rPr>
          <w:rFonts w:eastAsia="TimesNewRomanPSMT" w:cs="TimesNewRomanPSMT"/>
          <w:sz w:val="23"/>
          <w:szCs w:val="23"/>
        </w:rPr>
        <w:t>ț</w:t>
      </w:r>
      <w:r w:rsidRPr="005402C9">
        <w:rPr>
          <w:rFonts w:eastAsia="TimesNewRomanPSMT"/>
          <w:sz w:val="23"/>
          <w:szCs w:val="23"/>
        </w:rPr>
        <w:t xml:space="preserve">ionale </w:t>
      </w:r>
      <w:r w:rsidRPr="005402C9">
        <w:rPr>
          <w:rFonts w:eastAsia="TimesNewRomanPSMT" w:cs="TimesNewRomanPSMT"/>
          <w:sz w:val="23"/>
          <w:szCs w:val="23"/>
        </w:rPr>
        <w:t xml:space="preserve">– </w:t>
      </w:r>
      <w:r w:rsidRPr="005402C9">
        <w:rPr>
          <w:rFonts w:eastAsia="TimesNewRomanPSMT"/>
          <w:sz w:val="23"/>
          <w:szCs w:val="23"/>
        </w:rPr>
        <w:t xml:space="preserve">Procesoare cu consum redus de energie </w:t>
      </w:r>
      <w:r w:rsidRPr="005402C9">
        <w:rPr>
          <w:rFonts w:eastAsia="TimesNewRomanPSMT" w:cs="TimesNewRomanPSMT"/>
          <w:sz w:val="22"/>
          <w:szCs w:val="22"/>
        </w:rPr>
        <w:t>ș</w:t>
      </w:r>
      <w:r w:rsidRPr="005402C9">
        <w:rPr>
          <w:rFonts w:eastAsia="TimesNewRomanPSMT"/>
          <w:sz w:val="22"/>
          <w:szCs w:val="22"/>
        </w:rPr>
        <w:t>i</w:t>
      </w:r>
      <w:r w:rsidRPr="005402C9">
        <w:rPr>
          <w:rFonts w:eastAsia="TimesNewRomanPSMT"/>
          <w:sz w:val="23"/>
          <w:szCs w:val="23"/>
        </w:rPr>
        <w:t xml:space="preserve"> cipuri semiconductoare</w:t>
      </w:r>
      <w:r w:rsidRPr="005402C9">
        <w:rPr>
          <w:sz w:val="22"/>
          <w:szCs w:val="22"/>
        </w:rPr>
        <w:t>,</w:t>
      </w:r>
      <w:r w:rsidRPr="005402C9">
        <w:rPr>
          <w:i/>
          <w:sz w:val="22"/>
          <w:szCs w:val="22"/>
        </w:rPr>
        <w:t xml:space="preserve"> </w:t>
      </w:r>
      <w:r w:rsidRPr="005402C9">
        <w:rPr>
          <w:sz w:val="22"/>
          <w:szCs w:val="22"/>
        </w:rPr>
        <w:t>în cadrul Planului Național de Redresare și Reziliență (PNRR).</w:t>
      </w:r>
    </w:p>
    <w:p w14:paraId="23070B15" w14:textId="77777777" w:rsidR="008620EF" w:rsidRPr="005402C9" w:rsidRDefault="00F60438" w:rsidP="00AB5FF3">
      <w:pPr>
        <w:pBdr>
          <w:left w:val="single" w:sz="4" w:space="4" w:color="808080"/>
        </w:pBdr>
        <w:tabs>
          <w:tab w:val="left" w:pos="2520"/>
        </w:tabs>
        <w:spacing w:before="0" w:after="0" w:line="276" w:lineRule="auto"/>
        <w:ind w:left="720"/>
        <w:jc w:val="both"/>
        <w:rPr>
          <w:sz w:val="22"/>
          <w:szCs w:val="22"/>
        </w:rPr>
      </w:pPr>
      <w:r w:rsidRPr="005402C9">
        <w:rPr>
          <w:color w:val="000000"/>
          <w:sz w:val="22"/>
          <w:szCs w:val="22"/>
        </w:rPr>
        <w:tab/>
      </w:r>
    </w:p>
    <w:p w14:paraId="6040D76E" w14:textId="7D2866D6" w:rsidR="008620EF" w:rsidRPr="005402C9" w:rsidRDefault="00F60438" w:rsidP="00AB5FF3">
      <w:pPr>
        <w:pBdr>
          <w:left w:val="single" w:sz="4" w:space="4" w:color="808080"/>
        </w:pBdr>
        <w:tabs>
          <w:tab w:val="left" w:pos="3780"/>
        </w:tabs>
        <w:spacing w:before="0" w:after="0" w:line="276" w:lineRule="auto"/>
        <w:ind w:left="720"/>
        <w:jc w:val="both"/>
        <w:rPr>
          <w:sz w:val="22"/>
          <w:szCs w:val="22"/>
        </w:rPr>
      </w:pPr>
      <w:r w:rsidRPr="005402C9">
        <w:rPr>
          <w:color w:val="000000"/>
          <w:sz w:val="22"/>
          <w:szCs w:val="22"/>
        </w:rPr>
        <w:t xml:space="preserve">Apelul de proiecte se lansează prin aplicația pentru depunerea proiectelor de investiții finanțate în cadrul Planului Național de Redresare și Reziliență. Platforma poate fi accesată la următorul link: </w:t>
      </w:r>
      <w:r>
        <w:fldChar w:fldCharType="begin"/>
      </w:r>
      <w:r>
        <w:instrText>HYPERLINK "https://proiecte.pnrr.gov.ro/" \h</w:instrText>
      </w:r>
      <w:r>
        <w:fldChar w:fldCharType="separate"/>
      </w:r>
      <w:r w:rsidRPr="005402C9">
        <w:rPr>
          <w:color w:val="0000FF"/>
          <w:sz w:val="22"/>
          <w:szCs w:val="22"/>
          <w:u w:val="single"/>
        </w:rPr>
        <w:t>https://proiecte.pnrr.gov.ro</w:t>
      </w:r>
      <w:r>
        <w:rPr>
          <w:color w:val="0000FF"/>
          <w:sz w:val="22"/>
          <w:szCs w:val="22"/>
          <w:u w:val="single"/>
        </w:rPr>
        <w:fldChar w:fldCharType="end"/>
      </w:r>
    </w:p>
    <w:p w14:paraId="2AF5700F" w14:textId="77777777" w:rsidR="008620EF" w:rsidRPr="005402C9" w:rsidRDefault="008620EF" w:rsidP="002044FE">
      <w:pPr>
        <w:pBdr>
          <w:left w:val="single" w:sz="4" w:space="4" w:color="808080"/>
        </w:pBdr>
        <w:spacing w:before="0" w:after="0" w:line="276" w:lineRule="auto"/>
        <w:jc w:val="both"/>
        <w:rPr>
          <w:color w:val="000000"/>
          <w:sz w:val="22"/>
          <w:szCs w:val="22"/>
        </w:rPr>
      </w:pPr>
    </w:p>
    <w:p w14:paraId="24D8BA4E" w14:textId="4A552905" w:rsidR="008620EF" w:rsidRPr="005402C9" w:rsidRDefault="002C6385" w:rsidP="00AB5FF3">
      <w:pPr>
        <w:pBdr>
          <w:left w:val="single" w:sz="4" w:space="4" w:color="808080"/>
        </w:pBdr>
        <w:tabs>
          <w:tab w:val="left" w:pos="3780"/>
        </w:tabs>
        <w:spacing w:before="0" w:after="0" w:line="276" w:lineRule="auto"/>
        <w:ind w:left="720"/>
        <w:jc w:val="both"/>
        <w:rPr>
          <w:sz w:val="22"/>
          <w:szCs w:val="22"/>
        </w:rPr>
      </w:pPr>
      <w:bookmarkStart w:id="2" w:name="_gjdgxs"/>
      <w:bookmarkEnd w:id="2"/>
      <w:r w:rsidRPr="005402C9">
        <w:rPr>
          <w:color w:val="000000"/>
          <w:sz w:val="22"/>
          <w:szCs w:val="22"/>
        </w:rPr>
        <w:t xml:space="preserve">Evaluarea </w:t>
      </w:r>
      <w:r w:rsidR="00F60438" w:rsidRPr="005402C9">
        <w:rPr>
          <w:color w:val="000000"/>
          <w:sz w:val="22"/>
          <w:szCs w:val="22"/>
        </w:rPr>
        <w:t>informațiilor incluse în cererea de finanțare se realizează sistematic, în conformitate cu prevederile prezentului Ghid privind regulile şi condiţiile aplicabile finanţării din fondurile europene aferente PNRR în cadrul apelului de proiecte, aprobat și publicat pe site-ul Ministerului Investițiilor și Proiectelor Europene.</w:t>
      </w:r>
    </w:p>
    <w:p w14:paraId="2970076C" w14:textId="77777777" w:rsidR="008620EF" w:rsidRPr="005402C9" w:rsidRDefault="008620EF" w:rsidP="00AB5FF3">
      <w:pPr>
        <w:pBdr>
          <w:left w:val="single" w:sz="4" w:space="4" w:color="808080"/>
        </w:pBdr>
        <w:spacing w:before="0" w:after="0" w:line="276" w:lineRule="auto"/>
        <w:ind w:left="720"/>
        <w:jc w:val="both"/>
        <w:rPr>
          <w:color w:val="000000"/>
          <w:sz w:val="22"/>
          <w:szCs w:val="22"/>
        </w:rPr>
      </w:pPr>
    </w:p>
    <w:p w14:paraId="49D97FD8" w14:textId="0B375440" w:rsidR="008620EF" w:rsidRPr="005402C9" w:rsidRDefault="00F60438" w:rsidP="00AB5FF3">
      <w:pPr>
        <w:pBdr>
          <w:left w:val="single" w:sz="4" w:space="4" w:color="808080"/>
        </w:pBdr>
        <w:spacing w:before="0" w:after="0" w:line="276" w:lineRule="auto"/>
        <w:ind w:left="720"/>
        <w:jc w:val="both"/>
        <w:rPr>
          <w:sz w:val="22"/>
          <w:szCs w:val="22"/>
        </w:rPr>
      </w:pPr>
      <w:r w:rsidRPr="005402C9">
        <w:rPr>
          <w:color w:val="000000"/>
          <w:sz w:val="22"/>
          <w:szCs w:val="22"/>
        </w:rPr>
        <w:t>Aspectele cuprinse în aceste documente c</w:t>
      </w:r>
      <w:r w:rsidR="002044FE">
        <w:rPr>
          <w:color w:val="000000"/>
          <w:sz w:val="22"/>
          <w:szCs w:val="22"/>
        </w:rPr>
        <w:t>are</w:t>
      </w:r>
      <w:r w:rsidRPr="005402C9">
        <w:rPr>
          <w:color w:val="000000"/>
          <w:sz w:val="22"/>
          <w:szCs w:val="22"/>
        </w:rPr>
        <w:t xml:space="preserv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380A517E" w14:textId="77777777" w:rsidR="008620EF" w:rsidRPr="005402C9" w:rsidRDefault="008620EF" w:rsidP="00AB5FF3">
      <w:pPr>
        <w:pBdr>
          <w:left w:val="single" w:sz="4" w:space="4" w:color="808080"/>
        </w:pBdr>
        <w:spacing w:before="0" w:after="0" w:line="276" w:lineRule="auto"/>
        <w:ind w:left="720"/>
        <w:jc w:val="both"/>
        <w:rPr>
          <w:color w:val="000000"/>
          <w:sz w:val="22"/>
          <w:szCs w:val="22"/>
        </w:rPr>
      </w:pPr>
    </w:p>
    <w:p w14:paraId="7EE5284F" w14:textId="77777777" w:rsidR="008620EF" w:rsidRPr="005402C9" w:rsidRDefault="008620EF" w:rsidP="00AB5FF3">
      <w:pPr>
        <w:spacing w:before="0" w:after="0" w:line="276" w:lineRule="auto"/>
        <w:jc w:val="both"/>
        <w:rPr>
          <w:sz w:val="22"/>
          <w:szCs w:val="22"/>
          <w:u w:val="single"/>
        </w:rPr>
      </w:pPr>
    </w:p>
    <w:p w14:paraId="3848613A" w14:textId="77777777" w:rsidR="008620EF" w:rsidRPr="005402C9" w:rsidRDefault="008620EF" w:rsidP="00AB5FF3">
      <w:pPr>
        <w:spacing w:before="0" w:after="0" w:line="276" w:lineRule="auto"/>
        <w:jc w:val="both"/>
        <w:rPr>
          <w:sz w:val="22"/>
          <w:szCs w:val="22"/>
          <w:u w:val="single"/>
        </w:rPr>
      </w:pPr>
    </w:p>
    <w:p w14:paraId="4BC6B1BB" w14:textId="77777777" w:rsidR="008620EF" w:rsidRPr="005402C9" w:rsidRDefault="00F60438" w:rsidP="00AB5FF3">
      <w:pPr>
        <w:spacing w:before="0" w:after="0" w:line="276" w:lineRule="auto"/>
        <w:jc w:val="both"/>
        <w:rPr>
          <w:sz w:val="22"/>
          <w:szCs w:val="22"/>
        </w:rPr>
      </w:pPr>
      <w:r w:rsidRPr="005402C9">
        <w:rPr>
          <w:color w:val="7030A0"/>
          <w:sz w:val="22"/>
          <w:szCs w:val="22"/>
          <w:u w:val="single"/>
        </w:rPr>
        <w:t>IMPORTANT</w:t>
      </w:r>
    </w:p>
    <w:p w14:paraId="209D2D99" w14:textId="77777777" w:rsidR="008620EF" w:rsidRPr="005402C9" w:rsidRDefault="008620EF" w:rsidP="00AB5FF3">
      <w:pPr>
        <w:spacing w:before="0" w:after="0" w:line="276" w:lineRule="auto"/>
        <w:jc w:val="both"/>
        <w:rPr>
          <w:sz w:val="22"/>
          <w:szCs w:val="22"/>
          <w:u w:val="single"/>
        </w:rPr>
      </w:pPr>
    </w:p>
    <w:p w14:paraId="48EB182E" w14:textId="64A7CB6D" w:rsidR="008620EF" w:rsidRPr="005402C9" w:rsidRDefault="00F60438" w:rsidP="00AB5FF3">
      <w:pPr>
        <w:pBdr>
          <w:left w:val="single" w:sz="4" w:space="31" w:color="808080"/>
        </w:pBdr>
        <w:spacing w:before="0" w:after="0" w:line="276" w:lineRule="auto"/>
        <w:ind w:left="1440"/>
        <w:jc w:val="both"/>
        <w:rPr>
          <w:sz w:val="22"/>
          <w:szCs w:val="22"/>
        </w:rPr>
      </w:pPr>
      <w:r w:rsidRPr="005402C9">
        <w:rPr>
          <w:color w:val="000000"/>
          <w:sz w:val="22"/>
          <w:szCs w:val="22"/>
        </w:rPr>
        <w:t>Vă recomandăm ca, înainte de a începe completarea cererii de finanțare pentru apelul de proiecte, să vă asiguraţi că aţi parcurs toate informaţiile prezentate în acest document</w:t>
      </w:r>
      <w:r w:rsidRPr="005402C9">
        <w:rPr>
          <w:i/>
          <w:color w:val="000000"/>
          <w:sz w:val="22"/>
          <w:szCs w:val="22"/>
        </w:rPr>
        <w:t xml:space="preserve"> </w:t>
      </w:r>
      <w:r w:rsidRPr="005402C9">
        <w:rPr>
          <w:color w:val="000000"/>
          <w:sz w:val="22"/>
          <w:szCs w:val="22"/>
        </w:rPr>
        <w:t>şi că aţi înţeles toate aspectele legate de specificul intervenţiilor finanţate din fonduri europene aferente PNRR.</w:t>
      </w:r>
    </w:p>
    <w:p w14:paraId="7E0B6F21" w14:textId="77777777" w:rsidR="008620EF" w:rsidRPr="005402C9" w:rsidRDefault="008620EF" w:rsidP="00AB5FF3">
      <w:pPr>
        <w:pBdr>
          <w:left w:val="single" w:sz="4" w:space="31" w:color="808080"/>
        </w:pBdr>
        <w:spacing w:before="0" w:after="0" w:line="276" w:lineRule="auto"/>
        <w:ind w:left="1440"/>
        <w:jc w:val="both"/>
        <w:rPr>
          <w:color w:val="000000"/>
          <w:sz w:val="22"/>
          <w:szCs w:val="22"/>
        </w:rPr>
      </w:pPr>
    </w:p>
    <w:p w14:paraId="17B33DB3" w14:textId="7125CC4F" w:rsidR="008620EF" w:rsidRPr="005402C9" w:rsidRDefault="00F60438" w:rsidP="00AB5FF3">
      <w:pPr>
        <w:pBdr>
          <w:left w:val="single" w:sz="4" w:space="31" w:color="808080"/>
        </w:pBdr>
        <w:spacing w:before="0" w:after="0" w:line="276" w:lineRule="auto"/>
        <w:ind w:left="1440"/>
        <w:jc w:val="both"/>
        <w:rPr>
          <w:sz w:val="22"/>
          <w:szCs w:val="22"/>
        </w:rPr>
      </w:pPr>
      <w:r w:rsidRPr="005402C9">
        <w:rPr>
          <w:color w:val="000000"/>
          <w:sz w:val="22"/>
          <w:szCs w:val="22"/>
        </w:rPr>
        <w:t>Vă recomandăm ca până la data limită de depunere a cererilor de finanţare în cadrul prezentului apel de proiecte</w:t>
      </w:r>
      <w:r w:rsidR="002044FE">
        <w:rPr>
          <w:color w:val="000000"/>
          <w:sz w:val="22"/>
          <w:szCs w:val="22"/>
        </w:rPr>
        <w:t>,</w:t>
      </w:r>
      <w:r w:rsidRPr="005402C9">
        <w:rPr>
          <w:color w:val="000000"/>
          <w:sz w:val="22"/>
          <w:szCs w:val="22"/>
        </w:rPr>
        <w:t xml:space="preserve"> să consultaţi periodic pagina de internet www. </w:t>
      </w:r>
      <w:r>
        <w:fldChar w:fldCharType="begin"/>
      </w:r>
      <w:r>
        <w:instrText>HYPERLINK "https://mfe.gov.ro/category/anunturi-pnrr/" \h</w:instrText>
      </w:r>
      <w:r>
        <w:fldChar w:fldCharType="separate"/>
      </w:r>
      <w:r w:rsidRPr="005402C9">
        <w:rPr>
          <w:color w:val="0000FF"/>
          <w:sz w:val="22"/>
          <w:szCs w:val="22"/>
          <w:u w:val="single"/>
        </w:rPr>
        <w:t>https:/mfe.gov.ro/category/anunturi-pnrr/</w:t>
      </w:r>
      <w:r>
        <w:rPr>
          <w:color w:val="0000FF"/>
          <w:sz w:val="22"/>
          <w:szCs w:val="22"/>
          <w:u w:val="single"/>
        </w:rPr>
        <w:fldChar w:fldCharType="end"/>
      </w:r>
      <w:r w:rsidRPr="005402C9">
        <w:rPr>
          <w:color w:val="000000"/>
          <w:sz w:val="22"/>
          <w:szCs w:val="22"/>
        </w:rPr>
        <w:t xml:space="preserve"> pentru a urmări eventualele modificări/interpretări ale condiţiilor specifice, precum și alte comunicări/ clarificări pentru accesarea fondurilor europene aferente PNRR. </w:t>
      </w:r>
    </w:p>
    <w:p w14:paraId="5252C77B" w14:textId="77777777" w:rsidR="008620EF" w:rsidRPr="005402C9" w:rsidRDefault="008620EF" w:rsidP="00AB5FF3">
      <w:pPr>
        <w:spacing w:before="0" w:after="0" w:line="276" w:lineRule="auto"/>
        <w:jc w:val="both"/>
        <w:rPr>
          <w:sz w:val="22"/>
          <w:szCs w:val="22"/>
        </w:rPr>
      </w:pPr>
    </w:p>
    <w:p w14:paraId="4CBB9027" w14:textId="77777777" w:rsidR="008620EF" w:rsidRPr="005402C9" w:rsidRDefault="008620EF" w:rsidP="00AB5FF3">
      <w:pPr>
        <w:spacing w:before="0" w:after="0" w:line="276" w:lineRule="auto"/>
        <w:jc w:val="both"/>
        <w:rPr>
          <w:sz w:val="22"/>
          <w:szCs w:val="22"/>
        </w:rPr>
      </w:pPr>
    </w:p>
    <w:p w14:paraId="5295F32C" w14:textId="77777777" w:rsidR="008620EF" w:rsidRPr="005402C9" w:rsidRDefault="008620EF" w:rsidP="00AB5FF3">
      <w:pPr>
        <w:spacing w:before="0" w:after="0" w:line="276" w:lineRule="auto"/>
        <w:jc w:val="both"/>
        <w:rPr>
          <w:sz w:val="22"/>
          <w:szCs w:val="22"/>
        </w:rPr>
      </w:pPr>
    </w:p>
    <w:p w14:paraId="5D9EB201" w14:textId="521BE650" w:rsidR="008620EF" w:rsidRPr="005402C9" w:rsidRDefault="00F60438" w:rsidP="00AB5FF3">
      <w:pPr>
        <w:spacing w:line="276" w:lineRule="auto"/>
        <w:jc w:val="both"/>
        <w:rPr>
          <w:sz w:val="22"/>
          <w:szCs w:val="22"/>
        </w:rPr>
      </w:pPr>
      <w:r w:rsidRPr="005402C9">
        <w:rPr>
          <w:sz w:val="22"/>
          <w:szCs w:val="22"/>
        </w:rPr>
        <w:t>Prezentul ghid specific a fost elaborat de către DIRECȚIA GENERALĂ IMPLEMENTARE PNNR ȘI INSTRUMENTE FINANCIARE</w:t>
      </w:r>
      <w:r w:rsidR="00826E4E" w:rsidRPr="005402C9">
        <w:rPr>
          <w:sz w:val="22"/>
          <w:szCs w:val="22"/>
        </w:rPr>
        <w:t xml:space="preserve"> din cadrul Ministerului Investițiilor și Proiectelor Europene</w:t>
      </w:r>
      <w:r w:rsidR="002044FE">
        <w:rPr>
          <w:sz w:val="22"/>
          <w:szCs w:val="22"/>
        </w:rPr>
        <w:t>,</w:t>
      </w:r>
      <w:r w:rsidRPr="005402C9">
        <w:rPr>
          <w:sz w:val="22"/>
          <w:szCs w:val="22"/>
        </w:rPr>
        <w:t xml:space="preserve"> </w:t>
      </w:r>
      <w:r w:rsidR="00826E4E" w:rsidRPr="005402C9">
        <w:rPr>
          <w:sz w:val="22"/>
          <w:szCs w:val="22"/>
        </w:rPr>
        <w:t xml:space="preserve">împreună cu DIRECȚIA POLITICI INDUSTRIALE ȘI COMPETITIVITATE din cadrul Ministerului </w:t>
      </w:r>
      <w:r w:rsidR="00826E4E" w:rsidRPr="005402C9">
        <w:rPr>
          <w:rFonts w:cs="Times New Roman"/>
          <w:bCs/>
          <w:color w:val="000000" w:themeColor="text1"/>
          <w:sz w:val="22"/>
          <w:szCs w:val="22"/>
        </w:rPr>
        <w:t>Economiei, Antreprenoriatului și Turismului</w:t>
      </w:r>
      <w:r w:rsidR="00826E4E" w:rsidRPr="005402C9">
        <w:rPr>
          <w:sz w:val="22"/>
          <w:szCs w:val="22"/>
        </w:rPr>
        <w:t xml:space="preserve"> </w:t>
      </w:r>
      <w:r w:rsidRPr="005402C9">
        <w:rPr>
          <w:sz w:val="22"/>
          <w:szCs w:val="22"/>
        </w:rPr>
        <w:t>pentru a permite acordarea de finanțare nerambursabilă în cadrul  Componentei C9. SUPORT PENTRU SECTORUL PRIVAT, CERCETARE, DEZVOLTARE ȘI INOVARE, Investiția I4. Proiecte transfrontaliere și multinaționale – Procesoare cu consum redus de energie și cipuri semiconductoare, în cadrul Planului Național de Redresare și Reziliență (PNRR).</w:t>
      </w:r>
    </w:p>
    <w:p w14:paraId="72691900" w14:textId="77777777" w:rsidR="0001663E" w:rsidRPr="005402C9" w:rsidRDefault="0001663E" w:rsidP="00AB5FF3">
      <w:pPr>
        <w:spacing w:line="276" w:lineRule="auto"/>
        <w:jc w:val="both"/>
        <w:rPr>
          <w:sz w:val="22"/>
          <w:szCs w:val="22"/>
        </w:rPr>
      </w:pPr>
    </w:p>
    <w:p w14:paraId="6B82EEC7" w14:textId="77777777" w:rsidR="0001663E" w:rsidRPr="005402C9" w:rsidRDefault="0001663E" w:rsidP="00AB5FF3">
      <w:pPr>
        <w:spacing w:line="276" w:lineRule="auto"/>
        <w:jc w:val="both"/>
        <w:rPr>
          <w:sz w:val="22"/>
          <w:szCs w:val="22"/>
        </w:rPr>
      </w:pPr>
    </w:p>
    <w:sdt>
      <w:sdtPr>
        <w:rPr>
          <w:rFonts w:ascii="Trebuchet MS" w:eastAsia="Trebuchet MS" w:hAnsi="Trebuchet MS" w:cs="Trebuchet MS"/>
          <w:color w:val="auto"/>
          <w:sz w:val="20"/>
          <w:szCs w:val="20"/>
          <w:lang w:val="ro-RO"/>
        </w:rPr>
        <w:id w:val="-689529943"/>
        <w:docPartObj>
          <w:docPartGallery w:val="Table of Contents"/>
          <w:docPartUnique/>
        </w:docPartObj>
      </w:sdtPr>
      <w:sdtEndPr>
        <w:rPr>
          <w:b/>
          <w:bCs/>
          <w:noProof/>
        </w:rPr>
      </w:sdtEndPr>
      <w:sdtContent>
        <w:p w14:paraId="68D9A8CF" w14:textId="434FE792" w:rsidR="0001663E" w:rsidRPr="005402C9" w:rsidRDefault="0001663E">
          <w:pPr>
            <w:pStyle w:val="TOCHeading"/>
            <w:rPr>
              <w:rFonts w:ascii="Trebuchet MS" w:hAnsi="Trebuchet MS"/>
              <w:lang w:val="ro-RO"/>
            </w:rPr>
          </w:pPr>
          <w:r w:rsidRPr="005402C9">
            <w:rPr>
              <w:rFonts w:ascii="Trebuchet MS" w:hAnsi="Trebuchet MS"/>
              <w:lang w:val="ro-RO"/>
            </w:rPr>
            <w:t>Contents</w:t>
          </w:r>
        </w:p>
        <w:p w14:paraId="25951202" w14:textId="7DA87792" w:rsidR="006F2651" w:rsidRPr="005402C9" w:rsidRDefault="0001663E">
          <w:pPr>
            <w:pStyle w:val="TOC1"/>
            <w:rPr>
              <w:rFonts w:eastAsiaTheme="minorEastAsia" w:cstheme="minorBidi"/>
              <w:noProof/>
              <w:kern w:val="2"/>
              <w:sz w:val="22"/>
              <w:szCs w:val="22"/>
              <w14:ligatures w14:val="standardContextual"/>
            </w:rPr>
          </w:pPr>
          <w:r w:rsidRPr="005402C9">
            <w:fldChar w:fldCharType="begin"/>
          </w:r>
          <w:r w:rsidRPr="005402C9">
            <w:instrText xml:space="preserve"> TOC \o "1-3" \h \z \u </w:instrText>
          </w:r>
          <w:r w:rsidRPr="005402C9">
            <w:fldChar w:fldCharType="separate"/>
          </w:r>
          <w:hyperlink w:anchor="_Toc150159444" w:history="1">
            <w:r w:rsidR="006F2651" w:rsidRPr="005402C9">
              <w:rPr>
                <w:rStyle w:val="Hyperlink"/>
                <w:noProof/>
              </w:rPr>
              <w:t>0. CADRUL LEGAL</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_Toc150159444 \h </w:instrText>
            </w:r>
            <w:r w:rsidR="006F2651" w:rsidRPr="005402C9">
              <w:rPr>
                <w:noProof/>
                <w:webHidden/>
              </w:rPr>
            </w:r>
            <w:r w:rsidR="006F2651" w:rsidRPr="005402C9">
              <w:rPr>
                <w:noProof/>
                <w:webHidden/>
              </w:rPr>
              <w:fldChar w:fldCharType="separate"/>
            </w:r>
            <w:r w:rsidR="00020233">
              <w:rPr>
                <w:noProof/>
                <w:webHidden/>
              </w:rPr>
              <w:t>4</w:t>
            </w:r>
            <w:r w:rsidR="006F2651" w:rsidRPr="005402C9">
              <w:rPr>
                <w:noProof/>
                <w:webHidden/>
              </w:rPr>
              <w:fldChar w:fldCharType="end"/>
            </w:r>
          </w:hyperlink>
        </w:p>
        <w:p w14:paraId="62E0A0FB" w14:textId="3A24604E" w:rsidR="006F2651" w:rsidRPr="005402C9" w:rsidRDefault="00000000">
          <w:pPr>
            <w:pStyle w:val="TOC1"/>
            <w:rPr>
              <w:rFonts w:eastAsiaTheme="minorEastAsia" w:cstheme="minorBidi"/>
              <w:noProof/>
              <w:kern w:val="2"/>
              <w:sz w:val="22"/>
              <w:szCs w:val="22"/>
              <w14:ligatures w14:val="standardContextual"/>
            </w:rPr>
          </w:pPr>
          <w:hyperlink w:anchor="_Toc150159445" w:history="1">
            <w:r w:rsidR="006F2651" w:rsidRPr="005402C9">
              <w:rPr>
                <w:rStyle w:val="Hyperlink"/>
                <w:noProof/>
              </w:rPr>
              <w:t>1. INFORMAȚII DESPRE APELUL DE PROIECTE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_Toc150159445 \h </w:instrText>
            </w:r>
            <w:r w:rsidR="006F2651" w:rsidRPr="005402C9">
              <w:rPr>
                <w:noProof/>
                <w:webHidden/>
              </w:rPr>
            </w:r>
            <w:r w:rsidR="006F2651" w:rsidRPr="005402C9">
              <w:rPr>
                <w:noProof/>
                <w:webHidden/>
              </w:rPr>
              <w:fldChar w:fldCharType="separate"/>
            </w:r>
            <w:r w:rsidR="00020233">
              <w:rPr>
                <w:noProof/>
                <w:webHidden/>
              </w:rPr>
              <w:t>5</w:t>
            </w:r>
            <w:r w:rsidR="006F2651" w:rsidRPr="005402C9">
              <w:rPr>
                <w:noProof/>
                <w:webHidden/>
              </w:rPr>
              <w:fldChar w:fldCharType="end"/>
            </w:r>
          </w:hyperlink>
        </w:p>
        <w:p w14:paraId="5E8C973F" w14:textId="3A4AA21D" w:rsidR="006F2651" w:rsidRPr="005402C9" w:rsidRDefault="00000000">
          <w:pPr>
            <w:pStyle w:val="TOC2"/>
            <w:rPr>
              <w:rFonts w:eastAsiaTheme="minorEastAsia" w:cstheme="minorBidi"/>
              <w:noProof/>
              <w:kern w:val="2"/>
              <w:sz w:val="22"/>
              <w:szCs w:val="22"/>
              <w14:ligatures w14:val="standardContextual"/>
            </w:rPr>
          </w:pPr>
          <w:hyperlink w:anchor="_Toc150159446" w:history="1">
            <w:r w:rsidR="006F2651" w:rsidRPr="005402C9">
              <w:rPr>
                <w:rStyle w:val="Hyperlink"/>
                <w:noProof/>
              </w:rPr>
              <w:t>1.1.Pilonul, componenta, obiectivul general</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_Toc150159446 \h </w:instrText>
            </w:r>
            <w:r w:rsidR="006F2651" w:rsidRPr="005402C9">
              <w:rPr>
                <w:noProof/>
                <w:webHidden/>
              </w:rPr>
            </w:r>
            <w:r w:rsidR="006F2651" w:rsidRPr="005402C9">
              <w:rPr>
                <w:noProof/>
                <w:webHidden/>
              </w:rPr>
              <w:fldChar w:fldCharType="separate"/>
            </w:r>
            <w:r w:rsidR="00020233">
              <w:rPr>
                <w:noProof/>
                <w:webHidden/>
              </w:rPr>
              <w:t>5</w:t>
            </w:r>
            <w:r w:rsidR="006F2651" w:rsidRPr="005402C9">
              <w:rPr>
                <w:noProof/>
                <w:webHidden/>
              </w:rPr>
              <w:fldChar w:fldCharType="end"/>
            </w:r>
          </w:hyperlink>
        </w:p>
        <w:p w14:paraId="52933276" w14:textId="38AEFF6C" w:rsidR="006F2651" w:rsidRPr="005402C9" w:rsidRDefault="00000000">
          <w:pPr>
            <w:pStyle w:val="TOC2"/>
            <w:tabs>
              <w:tab w:val="left" w:pos="880"/>
            </w:tabs>
            <w:rPr>
              <w:rFonts w:eastAsiaTheme="minorEastAsia" w:cstheme="minorBidi"/>
              <w:noProof/>
              <w:kern w:val="2"/>
              <w:sz w:val="22"/>
              <w:szCs w:val="22"/>
              <w14:ligatures w14:val="standardContextual"/>
            </w:rPr>
          </w:pPr>
          <w:hyperlink w:anchor="_Toc150159447" w:history="1">
            <w:r w:rsidR="006F2651" w:rsidRPr="005402C9">
              <w:rPr>
                <w:rStyle w:val="Hyperlink"/>
                <w:noProof/>
              </w:rPr>
              <w:t>1.2</w:t>
            </w:r>
            <w:r w:rsidR="006F2651" w:rsidRPr="005402C9">
              <w:rPr>
                <w:rFonts w:eastAsiaTheme="minorEastAsia" w:cstheme="minorBidi"/>
                <w:noProof/>
                <w:kern w:val="2"/>
                <w:sz w:val="22"/>
                <w:szCs w:val="22"/>
                <w14:ligatures w14:val="standardContextual"/>
              </w:rPr>
              <w:tab/>
            </w:r>
            <w:r w:rsidR="006F2651" w:rsidRPr="005402C9">
              <w:rPr>
                <w:rStyle w:val="Hyperlink"/>
                <w:noProof/>
              </w:rPr>
              <w:t>Tipul apelului de proiecte, durata, modalitatea și perioada de depunere a propunerilor de proiecte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_Toc150159447 \h </w:instrText>
            </w:r>
            <w:r w:rsidR="006F2651" w:rsidRPr="005402C9">
              <w:rPr>
                <w:noProof/>
                <w:webHidden/>
              </w:rPr>
            </w:r>
            <w:r w:rsidR="006F2651" w:rsidRPr="005402C9">
              <w:rPr>
                <w:noProof/>
                <w:webHidden/>
              </w:rPr>
              <w:fldChar w:fldCharType="separate"/>
            </w:r>
            <w:r w:rsidR="00020233">
              <w:rPr>
                <w:noProof/>
                <w:webHidden/>
              </w:rPr>
              <w:t>7</w:t>
            </w:r>
            <w:r w:rsidR="006F2651" w:rsidRPr="005402C9">
              <w:rPr>
                <w:noProof/>
                <w:webHidden/>
              </w:rPr>
              <w:fldChar w:fldCharType="end"/>
            </w:r>
          </w:hyperlink>
        </w:p>
        <w:p w14:paraId="7403CC41" w14:textId="34D27228" w:rsidR="006F2651" w:rsidRPr="00C373AD" w:rsidRDefault="00000000">
          <w:pPr>
            <w:pStyle w:val="TOC3"/>
            <w:tabs>
              <w:tab w:val="left" w:pos="1320"/>
              <w:tab w:val="right" w:leader="dot" w:pos="9642"/>
            </w:tabs>
            <w:rPr>
              <w:rFonts w:eastAsiaTheme="minorEastAsia" w:cstheme="minorBidi"/>
              <w:b/>
              <w:bCs/>
              <w:noProof/>
              <w:kern w:val="2"/>
              <w:sz w:val="22"/>
              <w:szCs w:val="22"/>
              <w14:ligatures w14:val="standardContextual"/>
            </w:rPr>
          </w:pPr>
          <w:hyperlink w:anchor="_Toc150159448" w:history="1">
            <w:r w:rsidR="006F2651" w:rsidRPr="00C373AD">
              <w:rPr>
                <w:rStyle w:val="Hyperlink"/>
                <w:b/>
                <w:bCs/>
                <w:noProof/>
              </w:rPr>
              <w:t>1.2.1</w:t>
            </w:r>
            <w:r w:rsidR="006F2651" w:rsidRPr="00C373AD">
              <w:rPr>
                <w:rFonts w:eastAsiaTheme="minorEastAsia" w:cstheme="minorBidi"/>
                <w:b/>
                <w:bCs/>
                <w:noProof/>
                <w:kern w:val="2"/>
                <w:sz w:val="22"/>
                <w:szCs w:val="22"/>
                <w14:ligatures w14:val="standardContextual"/>
              </w:rPr>
              <w:tab/>
            </w:r>
            <w:r w:rsidR="006F2651" w:rsidRPr="00C373AD">
              <w:rPr>
                <w:rStyle w:val="Hyperlink"/>
                <w:b/>
                <w:bCs/>
                <w:noProof/>
              </w:rPr>
              <w:t>Calendar orientativ privind apelul de proiecte</w:t>
            </w:r>
            <w:r w:rsidR="006F2651" w:rsidRPr="00C373AD">
              <w:rPr>
                <w:b/>
                <w:bCs/>
                <w:noProof/>
                <w:webHidden/>
              </w:rPr>
              <w:tab/>
            </w:r>
            <w:r w:rsidR="006F2651" w:rsidRPr="00C373AD">
              <w:rPr>
                <w:b/>
                <w:bCs/>
                <w:noProof/>
                <w:webHidden/>
              </w:rPr>
              <w:fldChar w:fldCharType="begin"/>
            </w:r>
            <w:r w:rsidR="006F2651" w:rsidRPr="00C373AD">
              <w:rPr>
                <w:b/>
                <w:bCs/>
                <w:noProof/>
                <w:webHidden/>
              </w:rPr>
              <w:instrText xml:space="preserve"> PAGEREF _Toc150159448 \h </w:instrText>
            </w:r>
            <w:r w:rsidR="006F2651" w:rsidRPr="00C373AD">
              <w:rPr>
                <w:b/>
                <w:bCs/>
                <w:noProof/>
                <w:webHidden/>
              </w:rPr>
            </w:r>
            <w:r w:rsidR="006F2651" w:rsidRPr="00C373AD">
              <w:rPr>
                <w:b/>
                <w:bCs/>
                <w:noProof/>
                <w:webHidden/>
              </w:rPr>
              <w:fldChar w:fldCharType="separate"/>
            </w:r>
            <w:r w:rsidR="00020233" w:rsidRPr="00C373AD">
              <w:rPr>
                <w:b/>
                <w:bCs/>
                <w:noProof/>
                <w:webHidden/>
              </w:rPr>
              <w:t>8</w:t>
            </w:r>
            <w:r w:rsidR="006F2651" w:rsidRPr="00C373AD">
              <w:rPr>
                <w:b/>
                <w:bCs/>
                <w:noProof/>
                <w:webHidden/>
              </w:rPr>
              <w:fldChar w:fldCharType="end"/>
            </w:r>
          </w:hyperlink>
        </w:p>
        <w:p w14:paraId="50BFCF53" w14:textId="237FDBA4" w:rsidR="006F2651" w:rsidRPr="005402C9" w:rsidRDefault="00000000">
          <w:pPr>
            <w:pStyle w:val="TOC3"/>
            <w:tabs>
              <w:tab w:val="right" w:leader="dot" w:pos="9642"/>
            </w:tabs>
            <w:rPr>
              <w:rFonts w:eastAsiaTheme="minorEastAsia" w:cstheme="minorBidi"/>
              <w:noProof/>
              <w:kern w:val="2"/>
              <w:sz w:val="22"/>
              <w:szCs w:val="22"/>
              <w14:ligatures w14:val="standardContextual"/>
            </w:rPr>
          </w:pPr>
          <w:hyperlink w:anchor="_Toc150159449" w:history="1">
            <w:r w:rsidR="006F2651" w:rsidRPr="005402C9">
              <w:rPr>
                <w:rStyle w:val="Hyperlink"/>
                <w:bCs/>
                <w:noProof/>
              </w:rPr>
              <w:t>1.2.2 Definiții</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_Toc150159449 \h </w:instrText>
            </w:r>
            <w:r w:rsidR="006F2651" w:rsidRPr="005402C9">
              <w:rPr>
                <w:noProof/>
                <w:webHidden/>
              </w:rPr>
            </w:r>
            <w:r w:rsidR="006F2651" w:rsidRPr="005402C9">
              <w:rPr>
                <w:noProof/>
                <w:webHidden/>
              </w:rPr>
              <w:fldChar w:fldCharType="separate"/>
            </w:r>
            <w:r w:rsidR="00020233">
              <w:rPr>
                <w:noProof/>
                <w:webHidden/>
              </w:rPr>
              <w:t>8</w:t>
            </w:r>
            <w:r w:rsidR="006F2651" w:rsidRPr="005402C9">
              <w:rPr>
                <w:noProof/>
                <w:webHidden/>
              </w:rPr>
              <w:fldChar w:fldCharType="end"/>
            </w:r>
          </w:hyperlink>
        </w:p>
        <w:p w14:paraId="69818AC7" w14:textId="2C7A2320" w:rsidR="006F2651" w:rsidRPr="005402C9" w:rsidRDefault="00000000">
          <w:pPr>
            <w:pStyle w:val="TOC3"/>
            <w:tabs>
              <w:tab w:val="right" w:leader="dot" w:pos="9642"/>
            </w:tabs>
            <w:rPr>
              <w:rFonts w:eastAsiaTheme="minorEastAsia" w:cstheme="minorBidi"/>
              <w:noProof/>
              <w:kern w:val="2"/>
              <w:sz w:val="22"/>
              <w:szCs w:val="22"/>
              <w14:ligatures w14:val="standardContextual"/>
            </w:rPr>
          </w:pPr>
          <w:hyperlink w:anchor="_Toc150159450" w:history="1">
            <w:r w:rsidR="006F2651" w:rsidRPr="005402C9">
              <w:rPr>
                <w:rStyle w:val="Hyperlink"/>
                <w:bCs/>
                <w:noProof/>
              </w:rPr>
              <w:t>1.2.3 Activități eligibile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_Toc150159450 \h </w:instrText>
            </w:r>
            <w:r w:rsidR="006F2651" w:rsidRPr="005402C9">
              <w:rPr>
                <w:noProof/>
                <w:webHidden/>
              </w:rPr>
            </w:r>
            <w:r w:rsidR="006F2651" w:rsidRPr="005402C9">
              <w:rPr>
                <w:noProof/>
                <w:webHidden/>
              </w:rPr>
              <w:fldChar w:fldCharType="separate"/>
            </w:r>
            <w:r w:rsidR="00020233">
              <w:rPr>
                <w:noProof/>
                <w:webHidden/>
              </w:rPr>
              <w:t>12</w:t>
            </w:r>
            <w:r w:rsidR="006F2651" w:rsidRPr="005402C9">
              <w:rPr>
                <w:noProof/>
                <w:webHidden/>
              </w:rPr>
              <w:fldChar w:fldCharType="end"/>
            </w:r>
          </w:hyperlink>
        </w:p>
        <w:p w14:paraId="29B5D627" w14:textId="423564C0" w:rsidR="006F2651" w:rsidRPr="005402C9" w:rsidRDefault="00000000">
          <w:pPr>
            <w:pStyle w:val="TOC3"/>
            <w:tabs>
              <w:tab w:val="right" w:leader="dot" w:pos="9642"/>
            </w:tabs>
            <w:rPr>
              <w:rFonts w:eastAsiaTheme="minorEastAsia" w:cstheme="minorBidi"/>
              <w:noProof/>
              <w:kern w:val="2"/>
              <w:sz w:val="22"/>
              <w:szCs w:val="22"/>
              <w14:ligatures w14:val="standardContextual"/>
            </w:rPr>
          </w:pPr>
          <w:hyperlink w:anchor="_Toc150159451" w:history="1">
            <w:r w:rsidR="006F2651" w:rsidRPr="005402C9">
              <w:rPr>
                <w:rStyle w:val="Hyperlink"/>
                <w:bCs/>
                <w:noProof/>
              </w:rPr>
              <w:t>1.2.4 Solicitanți eligibili</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_Toc150159451 \h </w:instrText>
            </w:r>
            <w:r w:rsidR="006F2651" w:rsidRPr="005402C9">
              <w:rPr>
                <w:noProof/>
                <w:webHidden/>
              </w:rPr>
            </w:r>
            <w:r w:rsidR="006F2651" w:rsidRPr="005402C9">
              <w:rPr>
                <w:noProof/>
                <w:webHidden/>
              </w:rPr>
              <w:fldChar w:fldCharType="separate"/>
            </w:r>
            <w:r w:rsidR="00020233">
              <w:rPr>
                <w:noProof/>
                <w:webHidden/>
              </w:rPr>
              <w:t>12</w:t>
            </w:r>
            <w:r w:rsidR="006F2651" w:rsidRPr="005402C9">
              <w:rPr>
                <w:noProof/>
                <w:webHidden/>
              </w:rPr>
              <w:fldChar w:fldCharType="end"/>
            </w:r>
          </w:hyperlink>
        </w:p>
        <w:p w14:paraId="3FE55230" w14:textId="2887C5F2" w:rsidR="006F2651" w:rsidRPr="005402C9" w:rsidRDefault="00000000">
          <w:pPr>
            <w:pStyle w:val="TOC3"/>
            <w:tabs>
              <w:tab w:val="right" w:leader="dot" w:pos="9642"/>
            </w:tabs>
            <w:rPr>
              <w:rFonts w:eastAsiaTheme="minorEastAsia" w:cstheme="minorBidi"/>
              <w:noProof/>
              <w:kern w:val="2"/>
              <w:sz w:val="22"/>
              <w:szCs w:val="22"/>
              <w14:ligatures w14:val="standardContextual"/>
            </w:rPr>
          </w:pPr>
          <w:hyperlink w:anchor="_Toc150159452" w:history="1">
            <w:r w:rsidR="006F2651" w:rsidRPr="005402C9">
              <w:rPr>
                <w:rStyle w:val="Hyperlink"/>
                <w:bCs/>
                <w:noProof/>
              </w:rPr>
              <w:t>1.2.5 Alocarea financiară a apelului de proiecte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_Toc150159452 \h </w:instrText>
            </w:r>
            <w:r w:rsidR="006F2651" w:rsidRPr="005402C9">
              <w:rPr>
                <w:noProof/>
                <w:webHidden/>
              </w:rPr>
            </w:r>
            <w:r w:rsidR="006F2651" w:rsidRPr="005402C9">
              <w:rPr>
                <w:noProof/>
                <w:webHidden/>
              </w:rPr>
              <w:fldChar w:fldCharType="separate"/>
            </w:r>
            <w:r w:rsidR="00020233">
              <w:rPr>
                <w:noProof/>
                <w:webHidden/>
              </w:rPr>
              <w:t>14</w:t>
            </w:r>
            <w:r w:rsidR="006F2651" w:rsidRPr="005402C9">
              <w:rPr>
                <w:noProof/>
                <w:webHidden/>
              </w:rPr>
              <w:fldChar w:fldCharType="end"/>
            </w:r>
          </w:hyperlink>
        </w:p>
        <w:p w14:paraId="5B8EC1DE" w14:textId="4C54E215" w:rsidR="006F2651" w:rsidRPr="005402C9" w:rsidRDefault="00000000">
          <w:pPr>
            <w:pStyle w:val="TOC3"/>
            <w:tabs>
              <w:tab w:val="right" w:leader="dot" w:pos="9642"/>
            </w:tabs>
            <w:rPr>
              <w:rFonts w:eastAsiaTheme="minorEastAsia" w:cstheme="minorBidi"/>
              <w:noProof/>
              <w:kern w:val="2"/>
              <w:sz w:val="22"/>
              <w:szCs w:val="22"/>
              <w14:ligatures w14:val="standardContextual"/>
            </w:rPr>
          </w:pPr>
          <w:hyperlink w:anchor="_Toc150159453" w:history="1">
            <w:r w:rsidR="006F2651" w:rsidRPr="005402C9">
              <w:rPr>
                <w:rStyle w:val="Hyperlink"/>
                <w:bCs/>
                <w:noProof/>
              </w:rPr>
              <w:t>1.2.6 Indicatorii apelului de proiecte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_Toc150159453 \h </w:instrText>
            </w:r>
            <w:r w:rsidR="006F2651" w:rsidRPr="005402C9">
              <w:rPr>
                <w:noProof/>
                <w:webHidden/>
              </w:rPr>
            </w:r>
            <w:r w:rsidR="006F2651" w:rsidRPr="005402C9">
              <w:rPr>
                <w:noProof/>
                <w:webHidden/>
              </w:rPr>
              <w:fldChar w:fldCharType="separate"/>
            </w:r>
            <w:r w:rsidR="00020233">
              <w:rPr>
                <w:noProof/>
                <w:webHidden/>
              </w:rPr>
              <w:t>14</w:t>
            </w:r>
            <w:r w:rsidR="006F2651" w:rsidRPr="005402C9">
              <w:rPr>
                <w:noProof/>
                <w:webHidden/>
              </w:rPr>
              <w:fldChar w:fldCharType="end"/>
            </w:r>
          </w:hyperlink>
        </w:p>
        <w:p w14:paraId="0EB057F7" w14:textId="09D744C8" w:rsidR="006F2651" w:rsidRPr="005402C9" w:rsidRDefault="00000000">
          <w:pPr>
            <w:pStyle w:val="TOC3"/>
            <w:tabs>
              <w:tab w:val="right" w:leader="dot" w:pos="9642"/>
            </w:tabs>
            <w:rPr>
              <w:rFonts w:eastAsiaTheme="minorEastAsia" w:cstheme="minorBidi"/>
              <w:noProof/>
              <w:kern w:val="2"/>
              <w:sz w:val="22"/>
              <w:szCs w:val="22"/>
              <w14:ligatures w14:val="standardContextual"/>
            </w:rPr>
          </w:pPr>
          <w:hyperlink w:anchor="_Toc150159454" w:history="1">
            <w:r w:rsidR="006F2651" w:rsidRPr="005402C9">
              <w:rPr>
                <w:rStyle w:val="Hyperlink"/>
                <w:bCs/>
                <w:noProof/>
              </w:rPr>
              <w:t>1.2.7 Obiectivele proiectului</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_Toc150159454 \h </w:instrText>
            </w:r>
            <w:r w:rsidR="006F2651" w:rsidRPr="005402C9">
              <w:rPr>
                <w:noProof/>
                <w:webHidden/>
              </w:rPr>
            </w:r>
            <w:r w:rsidR="006F2651" w:rsidRPr="005402C9">
              <w:rPr>
                <w:noProof/>
                <w:webHidden/>
              </w:rPr>
              <w:fldChar w:fldCharType="separate"/>
            </w:r>
            <w:r w:rsidR="00020233">
              <w:rPr>
                <w:noProof/>
                <w:webHidden/>
              </w:rPr>
              <w:t>15</w:t>
            </w:r>
            <w:r w:rsidR="006F2651" w:rsidRPr="005402C9">
              <w:rPr>
                <w:noProof/>
                <w:webHidden/>
              </w:rPr>
              <w:fldChar w:fldCharType="end"/>
            </w:r>
          </w:hyperlink>
        </w:p>
        <w:p w14:paraId="1E2B4AF1" w14:textId="3532A8EB" w:rsidR="006F2651" w:rsidRPr="005402C9" w:rsidRDefault="00000000">
          <w:pPr>
            <w:pStyle w:val="TOC1"/>
            <w:rPr>
              <w:rFonts w:eastAsiaTheme="minorEastAsia" w:cstheme="minorBidi"/>
              <w:noProof/>
              <w:kern w:val="2"/>
              <w:sz w:val="22"/>
              <w:szCs w:val="22"/>
              <w14:ligatures w14:val="standardContextual"/>
            </w:rPr>
          </w:pPr>
          <w:hyperlink w:anchor="_Toc150159455" w:history="1">
            <w:r w:rsidR="006F2651" w:rsidRPr="005402C9">
              <w:rPr>
                <w:rStyle w:val="Hyperlink"/>
                <w:noProof/>
              </w:rPr>
              <w:t>2. AJUTOR DE STAT</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_Toc150159455 \h </w:instrText>
            </w:r>
            <w:r w:rsidR="006F2651" w:rsidRPr="005402C9">
              <w:rPr>
                <w:noProof/>
                <w:webHidden/>
              </w:rPr>
            </w:r>
            <w:r w:rsidR="006F2651" w:rsidRPr="005402C9">
              <w:rPr>
                <w:noProof/>
                <w:webHidden/>
              </w:rPr>
              <w:fldChar w:fldCharType="separate"/>
            </w:r>
            <w:r w:rsidR="00020233">
              <w:rPr>
                <w:noProof/>
                <w:webHidden/>
              </w:rPr>
              <w:t>15</w:t>
            </w:r>
            <w:r w:rsidR="006F2651" w:rsidRPr="005402C9">
              <w:rPr>
                <w:noProof/>
                <w:webHidden/>
              </w:rPr>
              <w:fldChar w:fldCharType="end"/>
            </w:r>
          </w:hyperlink>
        </w:p>
        <w:p w14:paraId="7DE6B978" w14:textId="1DEDE02D" w:rsidR="006F2651" w:rsidRPr="005402C9" w:rsidRDefault="00000000">
          <w:pPr>
            <w:pStyle w:val="TOC1"/>
            <w:rPr>
              <w:rFonts w:eastAsiaTheme="minorEastAsia" w:cstheme="minorBidi"/>
              <w:noProof/>
              <w:kern w:val="2"/>
              <w:sz w:val="22"/>
              <w:szCs w:val="22"/>
              <w14:ligatures w14:val="standardContextual"/>
            </w:rPr>
          </w:pPr>
          <w:hyperlink w:anchor="_Toc150159456" w:history="1">
            <w:r w:rsidR="006F2651" w:rsidRPr="005402C9">
              <w:rPr>
                <w:rStyle w:val="Hyperlink"/>
                <w:noProof/>
              </w:rPr>
              <w:t>3. ELIGIBILITATEA CHELTUIELILOR</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_Toc150159456 \h </w:instrText>
            </w:r>
            <w:r w:rsidR="006F2651" w:rsidRPr="005402C9">
              <w:rPr>
                <w:noProof/>
                <w:webHidden/>
              </w:rPr>
            </w:r>
            <w:r w:rsidR="006F2651" w:rsidRPr="005402C9">
              <w:rPr>
                <w:noProof/>
                <w:webHidden/>
              </w:rPr>
              <w:fldChar w:fldCharType="separate"/>
            </w:r>
            <w:r w:rsidR="00020233">
              <w:rPr>
                <w:noProof/>
                <w:webHidden/>
              </w:rPr>
              <w:t>17</w:t>
            </w:r>
            <w:r w:rsidR="006F2651" w:rsidRPr="005402C9">
              <w:rPr>
                <w:noProof/>
                <w:webHidden/>
              </w:rPr>
              <w:fldChar w:fldCharType="end"/>
            </w:r>
          </w:hyperlink>
        </w:p>
        <w:p w14:paraId="17661A18" w14:textId="12EAD488" w:rsidR="006F2651" w:rsidRPr="005402C9" w:rsidRDefault="00000000">
          <w:pPr>
            <w:pStyle w:val="TOC1"/>
            <w:rPr>
              <w:rFonts w:eastAsiaTheme="minorEastAsia" w:cstheme="minorBidi"/>
              <w:noProof/>
              <w:kern w:val="2"/>
              <w:sz w:val="22"/>
              <w:szCs w:val="22"/>
              <w14:ligatures w14:val="standardContextual"/>
            </w:rPr>
          </w:pPr>
          <w:hyperlink w:anchor="_Toc150159457" w:history="1">
            <w:r w:rsidR="006F2651" w:rsidRPr="005402C9">
              <w:rPr>
                <w:rStyle w:val="Hyperlink"/>
                <w:noProof/>
              </w:rPr>
              <w:t>4. SUSTENABILITATEA PROIECTULUI</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_Toc150159457 \h </w:instrText>
            </w:r>
            <w:r w:rsidR="006F2651" w:rsidRPr="005402C9">
              <w:rPr>
                <w:noProof/>
                <w:webHidden/>
              </w:rPr>
            </w:r>
            <w:r w:rsidR="006F2651" w:rsidRPr="005402C9">
              <w:rPr>
                <w:noProof/>
                <w:webHidden/>
              </w:rPr>
              <w:fldChar w:fldCharType="separate"/>
            </w:r>
            <w:r w:rsidR="00020233">
              <w:rPr>
                <w:noProof/>
                <w:webHidden/>
              </w:rPr>
              <w:t>21</w:t>
            </w:r>
            <w:r w:rsidR="006F2651" w:rsidRPr="005402C9">
              <w:rPr>
                <w:noProof/>
                <w:webHidden/>
              </w:rPr>
              <w:fldChar w:fldCharType="end"/>
            </w:r>
          </w:hyperlink>
        </w:p>
        <w:p w14:paraId="4303DAF8" w14:textId="47FD7A82" w:rsidR="006F2651" w:rsidRPr="005402C9" w:rsidRDefault="00000000">
          <w:pPr>
            <w:pStyle w:val="TOC1"/>
            <w:rPr>
              <w:rFonts w:eastAsiaTheme="minorEastAsia" w:cstheme="minorBidi"/>
              <w:noProof/>
              <w:kern w:val="2"/>
              <w:sz w:val="22"/>
              <w:szCs w:val="22"/>
              <w14:ligatures w14:val="standardContextual"/>
            </w:rPr>
          </w:pPr>
          <w:hyperlink w:anchor="_Toc150159458" w:history="1">
            <w:r w:rsidR="006F2651" w:rsidRPr="005402C9">
              <w:rPr>
                <w:rStyle w:val="Hyperlink"/>
                <w:noProof/>
              </w:rPr>
              <w:t>5. COMPLETAREA CERERILOR DE FINANȚARE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_Toc150159458 \h </w:instrText>
            </w:r>
            <w:r w:rsidR="006F2651" w:rsidRPr="005402C9">
              <w:rPr>
                <w:noProof/>
                <w:webHidden/>
              </w:rPr>
            </w:r>
            <w:r w:rsidR="006F2651" w:rsidRPr="005402C9">
              <w:rPr>
                <w:noProof/>
                <w:webHidden/>
              </w:rPr>
              <w:fldChar w:fldCharType="separate"/>
            </w:r>
            <w:r w:rsidR="00020233">
              <w:rPr>
                <w:noProof/>
                <w:webHidden/>
              </w:rPr>
              <w:t>21</w:t>
            </w:r>
            <w:r w:rsidR="006F2651" w:rsidRPr="005402C9">
              <w:rPr>
                <w:noProof/>
                <w:webHidden/>
              </w:rPr>
              <w:fldChar w:fldCharType="end"/>
            </w:r>
          </w:hyperlink>
        </w:p>
        <w:p w14:paraId="05F4242E" w14:textId="73C1EEFB" w:rsidR="006F2651" w:rsidRPr="005402C9" w:rsidRDefault="00000000">
          <w:pPr>
            <w:pStyle w:val="TOC2"/>
            <w:rPr>
              <w:rFonts w:eastAsiaTheme="minorEastAsia" w:cstheme="minorBidi"/>
              <w:noProof/>
              <w:kern w:val="2"/>
              <w:sz w:val="22"/>
              <w:szCs w:val="22"/>
              <w14:ligatures w14:val="standardContextual"/>
            </w:rPr>
          </w:pPr>
          <w:hyperlink w:anchor="_Toc150159459" w:history="1">
            <w:r w:rsidR="006F2651" w:rsidRPr="005402C9">
              <w:rPr>
                <w:rStyle w:val="Hyperlink"/>
                <w:bCs/>
                <w:noProof/>
              </w:rPr>
              <w:t>5.1 Anexe</w:t>
            </w:r>
            <w:r w:rsidR="006F2651" w:rsidRPr="005402C9">
              <w:rPr>
                <w:rStyle w:val="Hyperlink"/>
                <w:noProof/>
              </w:rPr>
              <w:t>: Cererea de finanțare este însoțită de următoarele anexe: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_Toc150159459 \h </w:instrText>
            </w:r>
            <w:r w:rsidR="006F2651" w:rsidRPr="005402C9">
              <w:rPr>
                <w:noProof/>
                <w:webHidden/>
              </w:rPr>
            </w:r>
            <w:r w:rsidR="006F2651" w:rsidRPr="005402C9">
              <w:rPr>
                <w:noProof/>
                <w:webHidden/>
              </w:rPr>
              <w:fldChar w:fldCharType="separate"/>
            </w:r>
            <w:r w:rsidR="00020233">
              <w:rPr>
                <w:noProof/>
                <w:webHidden/>
              </w:rPr>
              <w:t>21</w:t>
            </w:r>
            <w:r w:rsidR="006F2651" w:rsidRPr="005402C9">
              <w:rPr>
                <w:noProof/>
                <w:webHidden/>
              </w:rPr>
              <w:fldChar w:fldCharType="end"/>
            </w:r>
          </w:hyperlink>
        </w:p>
        <w:p w14:paraId="021CA227" w14:textId="1EEC6F90" w:rsidR="006F2651" w:rsidRPr="005402C9" w:rsidRDefault="00000000">
          <w:pPr>
            <w:pStyle w:val="TOC2"/>
            <w:rPr>
              <w:rFonts w:eastAsiaTheme="minorEastAsia" w:cstheme="minorBidi"/>
              <w:noProof/>
              <w:kern w:val="2"/>
              <w:sz w:val="22"/>
              <w:szCs w:val="22"/>
              <w14:ligatures w14:val="standardContextual"/>
            </w:rPr>
          </w:pPr>
          <w:hyperlink w:anchor="_Toc150159460" w:history="1">
            <w:r w:rsidR="006F2651" w:rsidRPr="005402C9">
              <w:rPr>
                <w:rStyle w:val="Hyperlink"/>
                <w:rFonts w:eastAsia="Calibri" w:cs="Times New Roman"/>
                <w:noProof/>
              </w:rPr>
              <w:t>5.2 Capacitatea instituțională:</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_Toc150159460 \h </w:instrText>
            </w:r>
            <w:r w:rsidR="006F2651" w:rsidRPr="005402C9">
              <w:rPr>
                <w:noProof/>
                <w:webHidden/>
              </w:rPr>
            </w:r>
            <w:r w:rsidR="006F2651" w:rsidRPr="005402C9">
              <w:rPr>
                <w:noProof/>
                <w:webHidden/>
              </w:rPr>
              <w:fldChar w:fldCharType="separate"/>
            </w:r>
            <w:r w:rsidR="00020233">
              <w:rPr>
                <w:noProof/>
                <w:webHidden/>
              </w:rPr>
              <w:t>22</w:t>
            </w:r>
            <w:r w:rsidR="006F2651" w:rsidRPr="005402C9">
              <w:rPr>
                <w:noProof/>
                <w:webHidden/>
              </w:rPr>
              <w:fldChar w:fldCharType="end"/>
            </w:r>
          </w:hyperlink>
        </w:p>
        <w:p w14:paraId="1F855071" w14:textId="365FAACB" w:rsidR="006F2651" w:rsidRPr="005402C9" w:rsidRDefault="00000000">
          <w:pPr>
            <w:pStyle w:val="TOC2"/>
            <w:rPr>
              <w:rFonts w:eastAsiaTheme="minorEastAsia" w:cstheme="minorBidi"/>
              <w:noProof/>
              <w:kern w:val="2"/>
              <w:sz w:val="22"/>
              <w:szCs w:val="22"/>
              <w14:ligatures w14:val="standardContextual"/>
            </w:rPr>
          </w:pPr>
          <w:hyperlink w:anchor="_Toc150159461" w:history="1">
            <w:r w:rsidR="006F2651" w:rsidRPr="005402C9">
              <w:rPr>
                <w:rStyle w:val="Hyperlink"/>
                <w:rFonts w:eastAsia="Calibri" w:cs="Times New Roman"/>
                <w:noProof/>
              </w:rPr>
              <w:t>5.3 Elaborarea bugetului</w:t>
            </w:r>
            <w:r w:rsidR="006F2651" w:rsidRPr="005402C9">
              <w:rPr>
                <w:rStyle w:val="Hyperlink"/>
                <w:noProof/>
              </w:rPr>
              <w:t>:</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_Toc150159461 \h </w:instrText>
            </w:r>
            <w:r w:rsidR="006F2651" w:rsidRPr="005402C9">
              <w:rPr>
                <w:noProof/>
                <w:webHidden/>
              </w:rPr>
            </w:r>
            <w:r w:rsidR="006F2651" w:rsidRPr="005402C9">
              <w:rPr>
                <w:noProof/>
                <w:webHidden/>
              </w:rPr>
              <w:fldChar w:fldCharType="separate"/>
            </w:r>
            <w:r w:rsidR="00020233">
              <w:rPr>
                <w:noProof/>
                <w:webHidden/>
              </w:rPr>
              <w:t>23</w:t>
            </w:r>
            <w:r w:rsidR="006F2651" w:rsidRPr="005402C9">
              <w:rPr>
                <w:noProof/>
                <w:webHidden/>
              </w:rPr>
              <w:fldChar w:fldCharType="end"/>
            </w:r>
          </w:hyperlink>
        </w:p>
        <w:p w14:paraId="586BC137" w14:textId="0CDD60FF" w:rsidR="006F2651" w:rsidRPr="005402C9" w:rsidRDefault="00000000">
          <w:pPr>
            <w:pStyle w:val="TOC2"/>
            <w:rPr>
              <w:rFonts w:eastAsiaTheme="minorEastAsia" w:cstheme="minorBidi"/>
              <w:noProof/>
              <w:kern w:val="2"/>
              <w:sz w:val="22"/>
              <w:szCs w:val="22"/>
              <w14:ligatures w14:val="standardContextual"/>
            </w:rPr>
          </w:pPr>
          <w:hyperlink w:anchor="_Toc150159462" w:history="1">
            <w:r w:rsidR="006F2651" w:rsidRPr="005402C9">
              <w:rPr>
                <w:rStyle w:val="Hyperlink"/>
                <w:rFonts w:eastAsia="Calibri" w:cs="Times New Roman"/>
                <w:bCs/>
                <w:noProof/>
              </w:rPr>
              <w:t>5.4 Limba utilizată în completarea cererii de finanțare: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_Toc150159462 \h </w:instrText>
            </w:r>
            <w:r w:rsidR="006F2651" w:rsidRPr="005402C9">
              <w:rPr>
                <w:noProof/>
                <w:webHidden/>
              </w:rPr>
            </w:r>
            <w:r w:rsidR="006F2651" w:rsidRPr="005402C9">
              <w:rPr>
                <w:noProof/>
                <w:webHidden/>
              </w:rPr>
              <w:fldChar w:fldCharType="separate"/>
            </w:r>
            <w:r w:rsidR="00020233">
              <w:rPr>
                <w:noProof/>
                <w:webHidden/>
              </w:rPr>
              <w:t>23</w:t>
            </w:r>
            <w:r w:rsidR="006F2651" w:rsidRPr="005402C9">
              <w:rPr>
                <w:noProof/>
                <w:webHidden/>
              </w:rPr>
              <w:fldChar w:fldCharType="end"/>
            </w:r>
          </w:hyperlink>
        </w:p>
        <w:p w14:paraId="38E0345F" w14:textId="35DCC21F" w:rsidR="006F2651" w:rsidRPr="005402C9" w:rsidRDefault="00000000">
          <w:pPr>
            <w:pStyle w:val="TOC2"/>
            <w:rPr>
              <w:rFonts w:eastAsiaTheme="minorEastAsia" w:cstheme="minorBidi"/>
              <w:noProof/>
              <w:kern w:val="2"/>
              <w:sz w:val="22"/>
              <w:szCs w:val="22"/>
              <w14:ligatures w14:val="standardContextual"/>
            </w:rPr>
          </w:pPr>
          <w:hyperlink w:anchor="_Toc150159463" w:history="1">
            <w:r w:rsidR="006F2651" w:rsidRPr="005402C9">
              <w:rPr>
                <w:rStyle w:val="Hyperlink"/>
                <w:bCs/>
                <w:noProof/>
              </w:rPr>
              <w:t>Limba utilizată în completarea cererii de finanțare este limba română.</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_Toc150159463 \h </w:instrText>
            </w:r>
            <w:r w:rsidR="006F2651" w:rsidRPr="005402C9">
              <w:rPr>
                <w:noProof/>
                <w:webHidden/>
              </w:rPr>
            </w:r>
            <w:r w:rsidR="006F2651" w:rsidRPr="005402C9">
              <w:rPr>
                <w:noProof/>
                <w:webHidden/>
              </w:rPr>
              <w:fldChar w:fldCharType="separate"/>
            </w:r>
            <w:r w:rsidR="00020233">
              <w:rPr>
                <w:noProof/>
                <w:webHidden/>
              </w:rPr>
              <w:t>23</w:t>
            </w:r>
            <w:r w:rsidR="006F2651" w:rsidRPr="005402C9">
              <w:rPr>
                <w:noProof/>
                <w:webHidden/>
              </w:rPr>
              <w:fldChar w:fldCharType="end"/>
            </w:r>
          </w:hyperlink>
        </w:p>
        <w:p w14:paraId="0C45EEBE" w14:textId="0A9545FC" w:rsidR="006F2651" w:rsidRPr="005402C9" w:rsidRDefault="00000000">
          <w:pPr>
            <w:pStyle w:val="TOC2"/>
            <w:rPr>
              <w:rFonts w:eastAsiaTheme="minorEastAsia" w:cstheme="minorBidi"/>
              <w:noProof/>
              <w:kern w:val="2"/>
              <w:sz w:val="22"/>
              <w:szCs w:val="22"/>
              <w14:ligatures w14:val="standardContextual"/>
            </w:rPr>
          </w:pPr>
          <w:hyperlink w:anchor="_Toc150159464" w:history="1">
            <w:r w:rsidR="006F2651" w:rsidRPr="005402C9">
              <w:rPr>
                <w:rStyle w:val="Hyperlink"/>
                <w:rFonts w:eastAsia="Calibri" w:cs="Times New Roman"/>
                <w:bCs/>
                <w:noProof/>
              </w:rPr>
              <w:t>5.6 Semnarea cererii de finanțare și a anexe</w:t>
            </w:r>
            <w:r w:rsidR="006F2651" w:rsidRPr="005402C9">
              <w:rPr>
                <w:rStyle w:val="Hyperlink"/>
                <w:rFonts w:eastAsia="Calibri" w:cs="Times New Roman"/>
                <w:noProof/>
              </w:rPr>
              <w:t>lor</w:t>
            </w:r>
            <w:r w:rsidR="006F2651" w:rsidRPr="005402C9">
              <w:rPr>
                <w:rStyle w:val="Hyperlink"/>
                <w:rFonts w:eastAsia="Calibri" w:cs="Times New Roman"/>
                <w:bCs/>
                <w:noProof/>
              </w:rPr>
              <w:t>:</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_Toc150159464 \h </w:instrText>
            </w:r>
            <w:r w:rsidR="006F2651" w:rsidRPr="005402C9">
              <w:rPr>
                <w:noProof/>
                <w:webHidden/>
              </w:rPr>
            </w:r>
            <w:r w:rsidR="006F2651" w:rsidRPr="005402C9">
              <w:rPr>
                <w:noProof/>
                <w:webHidden/>
              </w:rPr>
              <w:fldChar w:fldCharType="separate"/>
            </w:r>
            <w:r w:rsidR="00020233">
              <w:rPr>
                <w:noProof/>
                <w:webHidden/>
              </w:rPr>
              <w:t>23</w:t>
            </w:r>
            <w:r w:rsidR="006F2651" w:rsidRPr="005402C9">
              <w:rPr>
                <w:noProof/>
                <w:webHidden/>
              </w:rPr>
              <w:fldChar w:fldCharType="end"/>
            </w:r>
          </w:hyperlink>
        </w:p>
        <w:p w14:paraId="71E49469" w14:textId="7AEE804B" w:rsidR="006F2651" w:rsidRPr="005402C9" w:rsidRDefault="00000000">
          <w:pPr>
            <w:pStyle w:val="TOC1"/>
            <w:rPr>
              <w:rFonts w:eastAsiaTheme="minorEastAsia" w:cstheme="minorBidi"/>
              <w:noProof/>
              <w:kern w:val="2"/>
              <w:sz w:val="22"/>
              <w:szCs w:val="22"/>
              <w14:ligatures w14:val="standardContextual"/>
            </w:rPr>
          </w:pPr>
          <w:hyperlink w:anchor="_Toc150159465" w:history="1">
            <w:r w:rsidR="006F2651" w:rsidRPr="005402C9">
              <w:rPr>
                <w:rStyle w:val="Hyperlink"/>
                <w:noProof/>
              </w:rPr>
              <w:t>6. EVALUAREA ȘI SELECȚIA PROIECTELOR</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_Toc150159465 \h </w:instrText>
            </w:r>
            <w:r w:rsidR="006F2651" w:rsidRPr="005402C9">
              <w:rPr>
                <w:noProof/>
                <w:webHidden/>
              </w:rPr>
            </w:r>
            <w:r w:rsidR="006F2651" w:rsidRPr="005402C9">
              <w:rPr>
                <w:noProof/>
                <w:webHidden/>
              </w:rPr>
              <w:fldChar w:fldCharType="separate"/>
            </w:r>
            <w:r w:rsidR="00020233">
              <w:rPr>
                <w:noProof/>
                <w:webHidden/>
              </w:rPr>
              <w:t>23</w:t>
            </w:r>
            <w:r w:rsidR="006F2651" w:rsidRPr="005402C9">
              <w:rPr>
                <w:noProof/>
                <w:webHidden/>
              </w:rPr>
              <w:fldChar w:fldCharType="end"/>
            </w:r>
          </w:hyperlink>
        </w:p>
        <w:p w14:paraId="691E727C" w14:textId="24750545" w:rsidR="006F2651" w:rsidRPr="005402C9" w:rsidRDefault="00000000">
          <w:pPr>
            <w:pStyle w:val="TOC2"/>
            <w:rPr>
              <w:rFonts w:eastAsiaTheme="minorEastAsia" w:cstheme="minorBidi"/>
              <w:noProof/>
              <w:kern w:val="2"/>
              <w:sz w:val="22"/>
              <w:szCs w:val="22"/>
              <w14:ligatures w14:val="standardContextual"/>
            </w:rPr>
          </w:pPr>
          <w:hyperlink w:anchor="_Toc150159466" w:history="1">
            <w:r w:rsidR="006F2651" w:rsidRPr="005402C9">
              <w:rPr>
                <w:rStyle w:val="Hyperlink"/>
                <w:noProof/>
              </w:rPr>
              <w:t>6.1. Etapa de verificare a conformității administrative și a eligibilității (CAE)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_Toc150159466 \h </w:instrText>
            </w:r>
            <w:r w:rsidR="006F2651" w:rsidRPr="005402C9">
              <w:rPr>
                <w:noProof/>
                <w:webHidden/>
              </w:rPr>
            </w:r>
            <w:r w:rsidR="006F2651" w:rsidRPr="005402C9">
              <w:rPr>
                <w:noProof/>
                <w:webHidden/>
              </w:rPr>
              <w:fldChar w:fldCharType="separate"/>
            </w:r>
            <w:r w:rsidR="00020233">
              <w:rPr>
                <w:noProof/>
                <w:webHidden/>
              </w:rPr>
              <w:t>24</w:t>
            </w:r>
            <w:r w:rsidR="006F2651" w:rsidRPr="005402C9">
              <w:rPr>
                <w:noProof/>
                <w:webHidden/>
              </w:rPr>
              <w:fldChar w:fldCharType="end"/>
            </w:r>
          </w:hyperlink>
        </w:p>
        <w:p w14:paraId="501AE014" w14:textId="3430A6B9" w:rsidR="006F2651" w:rsidRPr="005402C9" w:rsidRDefault="00000000">
          <w:pPr>
            <w:pStyle w:val="TOC2"/>
            <w:rPr>
              <w:rFonts w:eastAsiaTheme="minorEastAsia" w:cstheme="minorBidi"/>
              <w:noProof/>
              <w:kern w:val="2"/>
              <w:sz w:val="22"/>
              <w:szCs w:val="22"/>
              <w14:ligatures w14:val="standardContextual"/>
            </w:rPr>
          </w:pPr>
          <w:hyperlink w:anchor="_Toc150159467" w:history="1">
            <w:r w:rsidR="006F2651" w:rsidRPr="005402C9">
              <w:rPr>
                <w:rStyle w:val="Hyperlink"/>
                <w:noProof/>
              </w:rPr>
              <w:t>6.2. Etapa de evaluare tehnică și financiară a propunerii de subproiect</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_Toc150159467 \h </w:instrText>
            </w:r>
            <w:r w:rsidR="006F2651" w:rsidRPr="005402C9">
              <w:rPr>
                <w:noProof/>
                <w:webHidden/>
              </w:rPr>
            </w:r>
            <w:r w:rsidR="006F2651" w:rsidRPr="005402C9">
              <w:rPr>
                <w:noProof/>
                <w:webHidden/>
              </w:rPr>
              <w:fldChar w:fldCharType="separate"/>
            </w:r>
            <w:r w:rsidR="00020233">
              <w:rPr>
                <w:b/>
                <w:bCs/>
                <w:noProof/>
                <w:webHidden/>
                <w:lang w:val="en-US"/>
              </w:rPr>
              <w:t>Error! Bookmark not defined.</w:t>
            </w:r>
            <w:r w:rsidR="006F2651" w:rsidRPr="005402C9">
              <w:rPr>
                <w:noProof/>
                <w:webHidden/>
              </w:rPr>
              <w:fldChar w:fldCharType="end"/>
            </w:r>
          </w:hyperlink>
        </w:p>
        <w:p w14:paraId="321341B9" w14:textId="3C16A9C6" w:rsidR="006F2651" w:rsidRPr="005402C9" w:rsidRDefault="00000000">
          <w:pPr>
            <w:pStyle w:val="TOC2"/>
            <w:rPr>
              <w:rFonts w:eastAsiaTheme="minorEastAsia" w:cstheme="minorBidi"/>
              <w:noProof/>
              <w:kern w:val="2"/>
              <w:sz w:val="22"/>
              <w:szCs w:val="22"/>
              <w14:ligatures w14:val="standardContextual"/>
            </w:rPr>
          </w:pPr>
          <w:hyperlink w:anchor="_Toc150159468" w:history="1">
            <w:r w:rsidR="006F2651" w:rsidRPr="005402C9">
              <w:rPr>
                <w:rStyle w:val="Hyperlink"/>
                <w:noProof/>
              </w:rPr>
              <w:t>6.3. Retragerea cererii de finanțare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_Toc150159468 \h </w:instrText>
            </w:r>
            <w:r w:rsidR="006F2651" w:rsidRPr="005402C9">
              <w:rPr>
                <w:noProof/>
                <w:webHidden/>
              </w:rPr>
            </w:r>
            <w:r w:rsidR="006F2651" w:rsidRPr="005402C9">
              <w:rPr>
                <w:noProof/>
                <w:webHidden/>
              </w:rPr>
              <w:fldChar w:fldCharType="separate"/>
            </w:r>
            <w:r w:rsidR="00020233">
              <w:rPr>
                <w:noProof/>
                <w:webHidden/>
              </w:rPr>
              <w:t>25</w:t>
            </w:r>
            <w:r w:rsidR="006F2651" w:rsidRPr="005402C9">
              <w:rPr>
                <w:noProof/>
                <w:webHidden/>
              </w:rPr>
              <w:fldChar w:fldCharType="end"/>
            </w:r>
          </w:hyperlink>
        </w:p>
        <w:p w14:paraId="27CD239C" w14:textId="4A4349B8" w:rsidR="006F2651" w:rsidRPr="005402C9" w:rsidRDefault="00000000">
          <w:pPr>
            <w:pStyle w:val="TOC2"/>
            <w:rPr>
              <w:rFonts w:eastAsiaTheme="minorEastAsia" w:cstheme="minorBidi"/>
              <w:noProof/>
              <w:kern w:val="2"/>
              <w:sz w:val="22"/>
              <w:szCs w:val="22"/>
              <w14:ligatures w14:val="standardContextual"/>
            </w:rPr>
          </w:pPr>
          <w:hyperlink w:anchor="_Toc150159469" w:history="1">
            <w:r w:rsidR="006F2651" w:rsidRPr="005402C9">
              <w:rPr>
                <w:rStyle w:val="Hyperlink"/>
                <w:noProof/>
              </w:rPr>
              <w:t>6.4. Etapa de selecție a subproiectelor</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_Toc150159469 \h </w:instrText>
            </w:r>
            <w:r w:rsidR="006F2651" w:rsidRPr="005402C9">
              <w:rPr>
                <w:noProof/>
                <w:webHidden/>
              </w:rPr>
            </w:r>
            <w:r w:rsidR="006F2651" w:rsidRPr="005402C9">
              <w:rPr>
                <w:noProof/>
                <w:webHidden/>
              </w:rPr>
              <w:fldChar w:fldCharType="separate"/>
            </w:r>
            <w:r w:rsidR="00020233">
              <w:rPr>
                <w:noProof/>
                <w:webHidden/>
              </w:rPr>
              <w:t>25</w:t>
            </w:r>
            <w:r w:rsidR="006F2651" w:rsidRPr="005402C9">
              <w:rPr>
                <w:noProof/>
                <w:webHidden/>
              </w:rPr>
              <w:fldChar w:fldCharType="end"/>
            </w:r>
          </w:hyperlink>
        </w:p>
        <w:p w14:paraId="03DBE381" w14:textId="6C2751C7" w:rsidR="006F2651" w:rsidRPr="005402C9" w:rsidRDefault="00000000">
          <w:pPr>
            <w:pStyle w:val="TOC2"/>
            <w:rPr>
              <w:rFonts w:eastAsiaTheme="minorEastAsia" w:cstheme="minorBidi"/>
              <w:noProof/>
              <w:kern w:val="2"/>
              <w:sz w:val="22"/>
              <w:szCs w:val="22"/>
              <w14:ligatures w14:val="standardContextual"/>
            </w:rPr>
          </w:pPr>
          <w:hyperlink w:anchor="_Toc150159470" w:history="1">
            <w:r w:rsidR="006F2651" w:rsidRPr="005402C9">
              <w:rPr>
                <w:rStyle w:val="Hyperlink"/>
                <w:noProof/>
              </w:rPr>
              <w:t>6.5. Depunerea și soluționarea contestațiilor privind verificarea administrativă și a eligibilității, respectiv evaluarea tehnică și financiară</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_Toc150159470 \h </w:instrText>
            </w:r>
            <w:r w:rsidR="006F2651" w:rsidRPr="005402C9">
              <w:rPr>
                <w:noProof/>
                <w:webHidden/>
              </w:rPr>
            </w:r>
            <w:r w:rsidR="006F2651" w:rsidRPr="005402C9">
              <w:rPr>
                <w:noProof/>
                <w:webHidden/>
              </w:rPr>
              <w:fldChar w:fldCharType="separate"/>
            </w:r>
            <w:r w:rsidR="00020233">
              <w:rPr>
                <w:noProof/>
                <w:webHidden/>
              </w:rPr>
              <w:t>25</w:t>
            </w:r>
            <w:r w:rsidR="006F2651" w:rsidRPr="005402C9">
              <w:rPr>
                <w:noProof/>
                <w:webHidden/>
              </w:rPr>
              <w:fldChar w:fldCharType="end"/>
            </w:r>
          </w:hyperlink>
        </w:p>
        <w:p w14:paraId="25B37873" w14:textId="3352563C" w:rsidR="006F2651" w:rsidRPr="005402C9" w:rsidRDefault="00000000">
          <w:pPr>
            <w:pStyle w:val="TOC1"/>
            <w:rPr>
              <w:rFonts w:eastAsiaTheme="minorEastAsia" w:cstheme="minorBidi"/>
              <w:noProof/>
              <w:kern w:val="2"/>
              <w:sz w:val="22"/>
              <w:szCs w:val="22"/>
              <w14:ligatures w14:val="standardContextual"/>
            </w:rPr>
          </w:pPr>
          <w:hyperlink w:anchor="_Toc150159471" w:history="1">
            <w:r w:rsidR="006F2651" w:rsidRPr="005402C9">
              <w:rPr>
                <w:rStyle w:val="Hyperlink"/>
                <w:noProof/>
              </w:rPr>
              <w:t>CONTRACTAREA ȘI IMPLEMENTAREA PROIECTELOR</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_Toc150159471 \h </w:instrText>
            </w:r>
            <w:r w:rsidR="006F2651" w:rsidRPr="005402C9">
              <w:rPr>
                <w:noProof/>
                <w:webHidden/>
              </w:rPr>
            </w:r>
            <w:r w:rsidR="006F2651" w:rsidRPr="005402C9">
              <w:rPr>
                <w:noProof/>
                <w:webHidden/>
              </w:rPr>
              <w:fldChar w:fldCharType="separate"/>
            </w:r>
            <w:r w:rsidR="00020233">
              <w:rPr>
                <w:noProof/>
                <w:webHidden/>
              </w:rPr>
              <w:t>26</w:t>
            </w:r>
            <w:r w:rsidR="006F2651" w:rsidRPr="005402C9">
              <w:rPr>
                <w:noProof/>
                <w:webHidden/>
              </w:rPr>
              <w:fldChar w:fldCharType="end"/>
            </w:r>
          </w:hyperlink>
        </w:p>
        <w:p w14:paraId="71208A2C" w14:textId="6AACB33A" w:rsidR="006F2651" w:rsidRPr="005402C9" w:rsidRDefault="00000000">
          <w:pPr>
            <w:pStyle w:val="TOC2"/>
            <w:rPr>
              <w:rFonts w:eastAsiaTheme="minorEastAsia" w:cstheme="minorBidi"/>
              <w:noProof/>
              <w:kern w:val="2"/>
              <w:sz w:val="22"/>
              <w:szCs w:val="22"/>
              <w14:ligatures w14:val="standardContextual"/>
            </w:rPr>
          </w:pPr>
          <w:hyperlink w:anchor="_Toc150159472" w:history="1">
            <w:r w:rsidR="006F2651" w:rsidRPr="005402C9">
              <w:rPr>
                <w:rStyle w:val="Hyperlink"/>
                <w:noProof/>
              </w:rPr>
              <w:t>7.1. Contractarea proiectelor</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_Toc150159472 \h </w:instrText>
            </w:r>
            <w:r w:rsidR="006F2651" w:rsidRPr="005402C9">
              <w:rPr>
                <w:noProof/>
                <w:webHidden/>
              </w:rPr>
            </w:r>
            <w:r w:rsidR="006F2651" w:rsidRPr="005402C9">
              <w:rPr>
                <w:noProof/>
                <w:webHidden/>
              </w:rPr>
              <w:fldChar w:fldCharType="separate"/>
            </w:r>
            <w:r w:rsidR="00020233">
              <w:rPr>
                <w:noProof/>
                <w:webHidden/>
              </w:rPr>
              <w:t>26</w:t>
            </w:r>
            <w:r w:rsidR="006F2651" w:rsidRPr="005402C9">
              <w:rPr>
                <w:noProof/>
                <w:webHidden/>
              </w:rPr>
              <w:fldChar w:fldCharType="end"/>
            </w:r>
          </w:hyperlink>
        </w:p>
        <w:p w14:paraId="0861B53F" w14:textId="76E77F27" w:rsidR="006F2651" w:rsidRPr="005402C9" w:rsidRDefault="00000000">
          <w:pPr>
            <w:pStyle w:val="TOC2"/>
            <w:rPr>
              <w:rFonts w:eastAsiaTheme="minorEastAsia" w:cstheme="minorBidi"/>
              <w:noProof/>
              <w:kern w:val="2"/>
              <w:sz w:val="22"/>
              <w:szCs w:val="22"/>
              <w14:ligatures w14:val="standardContextual"/>
            </w:rPr>
          </w:pPr>
          <w:hyperlink w:anchor="_Toc150159473" w:history="1">
            <w:r w:rsidR="006F2651" w:rsidRPr="005402C9">
              <w:rPr>
                <w:rStyle w:val="Hyperlink"/>
                <w:bCs/>
                <w:noProof/>
              </w:rPr>
              <w:t>7.2</w:t>
            </w:r>
            <w:r w:rsidR="006F2651" w:rsidRPr="005402C9">
              <w:rPr>
                <w:rStyle w:val="Hyperlink"/>
                <w:noProof/>
              </w:rPr>
              <w:t xml:space="preserve"> Reguli privind implementarea și monitorizarea proiectelor</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_Toc150159473 \h </w:instrText>
            </w:r>
            <w:r w:rsidR="006F2651" w:rsidRPr="005402C9">
              <w:rPr>
                <w:noProof/>
                <w:webHidden/>
              </w:rPr>
            </w:r>
            <w:r w:rsidR="006F2651" w:rsidRPr="005402C9">
              <w:rPr>
                <w:noProof/>
                <w:webHidden/>
              </w:rPr>
              <w:fldChar w:fldCharType="separate"/>
            </w:r>
            <w:r w:rsidR="00020233">
              <w:rPr>
                <w:noProof/>
                <w:webHidden/>
              </w:rPr>
              <w:t>27</w:t>
            </w:r>
            <w:r w:rsidR="006F2651" w:rsidRPr="005402C9">
              <w:rPr>
                <w:noProof/>
                <w:webHidden/>
              </w:rPr>
              <w:fldChar w:fldCharType="end"/>
            </w:r>
          </w:hyperlink>
        </w:p>
        <w:p w14:paraId="2772DDB9" w14:textId="425B3F54" w:rsidR="006F2651" w:rsidRPr="005402C9" w:rsidRDefault="00000000">
          <w:pPr>
            <w:pStyle w:val="TOC2"/>
            <w:rPr>
              <w:rFonts w:eastAsiaTheme="minorEastAsia" w:cstheme="minorBidi"/>
              <w:noProof/>
              <w:kern w:val="2"/>
              <w:sz w:val="22"/>
              <w:szCs w:val="22"/>
              <w14:ligatures w14:val="standardContextual"/>
            </w:rPr>
          </w:pPr>
          <w:hyperlink w:anchor="_Toc150159474" w:history="1">
            <w:r w:rsidR="006F2651" w:rsidRPr="005402C9">
              <w:rPr>
                <w:rStyle w:val="Hyperlink"/>
                <w:noProof/>
              </w:rPr>
              <w:t>7.3 Transferul sumelor</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_Toc150159474 \h </w:instrText>
            </w:r>
            <w:r w:rsidR="006F2651" w:rsidRPr="005402C9">
              <w:rPr>
                <w:noProof/>
                <w:webHidden/>
              </w:rPr>
            </w:r>
            <w:r w:rsidR="006F2651" w:rsidRPr="005402C9">
              <w:rPr>
                <w:noProof/>
                <w:webHidden/>
              </w:rPr>
              <w:fldChar w:fldCharType="separate"/>
            </w:r>
            <w:r w:rsidR="00020233">
              <w:rPr>
                <w:noProof/>
                <w:webHidden/>
              </w:rPr>
              <w:t>30</w:t>
            </w:r>
            <w:r w:rsidR="006F2651" w:rsidRPr="005402C9">
              <w:rPr>
                <w:noProof/>
                <w:webHidden/>
              </w:rPr>
              <w:fldChar w:fldCharType="end"/>
            </w:r>
          </w:hyperlink>
        </w:p>
        <w:p w14:paraId="7CB0BFA5" w14:textId="317BC31A" w:rsidR="006F2651" w:rsidRPr="005402C9" w:rsidRDefault="00000000">
          <w:pPr>
            <w:pStyle w:val="TOC2"/>
            <w:rPr>
              <w:rFonts w:eastAsiaTheme="minorEastAsia" w:cstheme="minorBidi"/>
              <w:noProof/>
              <w:kern w:val="2"/>
              <w:sz w:val="22"/>
              <w:szCs w:val="22"/>
              <w14:ligatures w14:val="standardContextual"/>
            </w:rPr>
          </w:pPr>
          <w:hyperlink w:anchor="_Toc150159475" w:history="1">
            <w:r w:rsidR="006F2651" w:rsidRPr="005402C9">
              <w:rPr>
                <w:rStyle w:val="Hyperlink"/>
                <w:bCs/>
                <w:noProof/>
              </w:rPr>
              <w:t>7.4</w:t>
            </w:r>
            <w:r w:rsidR="006F2651" w:rsidRPr="005402C9">
              <w:rPr>
                <w:rStyle w:val="Hyperlink"/>
                <w:noProof/>
              </w:rPr>
              <w:t xml:space="preserve">  Mecanisme de gestionare a riscurilor de implementare</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_Toc150159475 \h </w:instrText>
            </w:r>
            <w:r w:rsidR="006F2651" w:rsidRPr="005402C9">
              <w:rPr>
                <w:noProof/>
                <w:webHidden/>
              </w:rPr>
            </w:r>
            <w:r w:rsidR="006F2651" w:rsidRPr="005402C9">
              <w:rPr>
                <w:noProof/>
                <w:webHidden/>
              </w:rPr>
              <w:fldChar w:fldCharType="separate"/>
            </w:r>
            <w:r w:rsidR="00020233">
              <w:rPr>
                <w:noProof/>
                <w:webHidden/>
              </w:rPr>
              <w:t>30</w:t>
            </w:r>
            <w:r w:rsidR="006F2651" w:rsidRPr="005402C9">
              <w:rPr>
                <w:noProof/>
                <w:webHidden/>
              </w:rPr>
              <w:fldChar w:fldCharType="end"/>
            </w:r>
          </w:hyperlink>
        </w:p>
        <w:p w14:paraId="23B51B0C" w14:textId="234E18D2" w:rsidR="006F2651" w:rsidRPr="005402C9" w:rsidRDefault="00000000">
          <w:pPr>
            <w:pStyle w:val="TOC1"/>
            <w:rPr>
              <w:rFonts w:eastAsiaTheme="minorEastAsia" w:cstheme="minorBidi"/>
              <w:noProof/>
              <w:kern w:val="2"/>
              <w:sz w:val="22"/>
              <w:szCs w:val="22"/>
              <w14:ligatures w14:val="standardContextual"/>
            </w:rPr>
          </w:pPr>
          <w:hyperlink w:anchor="_Toc150159476" w:history="1">
            <w:r w:rsidR="006F2651" w:rsidRPr="005402C9">
              <w:rPr>
                <w:rStyle w:val="Hyperlink"/>
                <w:noProof/>
              </w:rPr>
              <w:t>8. TRANSPARENȚĂ</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_Toc150159476 \h </w:instrText>
            </w:r>
            <w:r w:rsidR="006F2651" w:rsidRPr="005402C9">
              <w:rPr>
                <w:noProof/>
                <w:webHidden/>
              </w:rPr>
            </w:r>
            <w:r w:rsidR="006F2651" w:rsidRPr="005402C9">
              <w:rPr>
                <w:noProof/>
                <w:webHidden/>
              </w:rPr>
              <w:fldChar w:fldCharType="separate"/>
            </w:r>
            <w:r w:rsidR="00020233">
              <w:rPr>
                <w:noProof/>
                <w:webHidden/>
              </w:rPr>
              <w:t>30</w:t>
            </w:r>
            <w:r w:rsidR="006F2651" w:rsidRPr="005402C9">
              <w:rPr>
                <w:noProof/>
                <w:webHidden/>
              </w:rPr>
              <w:fldChar w:fldCharType="end"/>
            </w:r>
          </w:hyperlink>
        </w:p>
        <w:p w14:paraId="75DB69CE" w14:textId="559CEE74" w:rsidR="006F2651" w:rsidRPr="005402C9" w:rsidRDefault="00000000">
          <w:pPr>
            <w:pStyle w:val="TOC1"/>
            <w:rPr>
              <w:rFonts w:eastAsiaTheme="minorEastAsia" w:cstheme="minorBidi"/>
              <w:noProof/>
              <w:kern w:val="2"/>
              <w:sz w:val="22"/>
              <w:szCs w:val="22"/>
              <w14:ligatures w14:val="standardContextual"/>
            </w:rPr>
          </w:pPr>
          <w:hyperlink w:anchor="_Toc150159477" w:history="1">
            <w:r w:rsidR="006F2651" w:rsidRPr="005402C9">
              <w:rPr>
                <w:rStyle w:val="Hyperlink"/>
                <w:noProof/>
              </w:rPr>
              <w:t>9. PREVENIREA NEREGULILOR GRAVE, A DUBLEI FINANȚĂRI</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_Toc150159477 \h </w:instrText>
            </w:r>
            <w:r w:rsidR="006F2651" w:rsidRPr="005402C9">
              <w:rPr>
                <w:noProof/>
                <w:webHidden/>
              </w:rPr>
            </w:r>
            <w:r w:rsidR="006F2651" w:rsidRPr="005402C9">
              <w:rPr>
                <w:noProof/>
                <w:webHidden/>
              </w:rPr>
              <w:fldChar w:fldCharType="separate"/>
            </w:r>
            <w:r w:rsidR="00020233">
              <w:rPr>
                <w:noProof/>
                <w:webHidden/>
              </w:rPr>
              <w:t>31</w:t>
            </w:r>
            <w:r w:rsidR="006F2651" w:rsidRPr="005402C9">
              <w:rPr>
                <w:noProof/>
                <w:webHidden/>
              </w:rPr>
              <w:fldChar w:fldCharType="end"/>
            </w:r>
          </w:hyperlink>
        </w:p>
        <w:p w14:paraId="7D770ADA" w14:textId="198BE876" w:rsidR="006F2651" w:rsidRPr="005402C9" w:rsidRDefault="00000000">
          <w:pPr>
            <w:pStyle w:val="TOC1"/>
            <w:rPr>
              <w:rFonts w:eastAsiaTheme="minorEastAsia" w:cstheme="minorBidi"/>
              <w:noProof/>
              <w:kern w:val="2"/>
              <w:sz w:val="22"/>
              <w:szCs w:val="22"/>
              <w14:ligatures w14:val="standardContextual"/>
            </w:rPr>
          </w:pPr>
          <w:hyperlink w:anchor="_Toc150159478" w:history="1">
            <w:r w:rsidR="006F2651" w:rsidRPr="005402C9">
              <w:rPr>
                <w:rStyle w:val="Hyperlink"/>
                <w:noProof/>
              </w:rPr>
              <w:t>10. RESPECTAREA PRINCIPIULUI „DE A NU PREJUDICIA ÎN MOD SEMNIFICATIV (DNSH)”</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_Toc150159478 \h </w:instrText>
            </w:r>
            <w:r w:rsidR="006F2651" w:rsidRPr="005402C9">
              <w:rPr>
                <w:noProof/>
                <w:webHidden/>
              </w:rPr>
            </w:r>
            <w:r w:rsidR="006F2651" w:rsidRPr="005402C9">
              <w:rPr>
                <w:noProof/>
                <w:webHidden/>
              </w:rPr>
              <w:fldChar w:fldCharType="separate"/>
            </w:r>
            <w:r w:rsidR="00020233">
              <w:rPr>
                <w:noProof/>
                <w:webHidden/>
              </w:rPr>
              <w:t>32</w:t>
            </w:r>
            <w:r w:rsidR="006F2651" w:rsidRPr="005402C9">
              <w:rPr>
                <w:noProof/>
                <w:webHidden/>
              </w:rPr>
              <w:fldChar w:fldCharType="end"/>
            </w:r>
          </w:hyperlink>
        </w:p>
        <w:p w14:paraId="5AE859AF" w14:textId="6818D76B" w:rsidR="006F2651" w:rsidRPr="005402C9" w:rsidRDefault="00000000">
          <w:pPr>
            <w:pStyle w:val="TOC1"/>
            <w:rPr>
              <w:rFonts w:eastAsiaTheme="minorEastAsia" w:cstheme="minorBidi"/>
              <w:noProof/>
              <w:kern w:val="2"/>
              <w:sz w:val="22"/>
              <w:szCs w:val="22"/>
              <w14:ligatures w14:val="standardContextual"/>
            </w:rPr>
          </w:pPr>
          <w:hyperlink w:anchor="_Toc150159479" w:history="1">
            <w:r w:rsidR="006F2651" w:rsidRPr="005402C9">
              <w:rPr>
                <w:rStyle w:val="Hyperlink"/>
                <w:noProof/>
              </w:rPr>
              <w:t>11. BENEFICIARUL REAL</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_Toc150159479 \h </w:instrText>
            </w:r>
            <w:r w:rsidR="006F2651" w:rsidRPr="005402C9">
              <w:rPr>
                <w:noProof/>
                <w:webHidden/>
              </w:rPr>
            </w:r>
            <w:r w:rsidR="006F2651" w:rsidRPr="005402C9">
              <w:rPr>
                <w:noProof/>
                <w:webHidden/>
              </w:rPr>
              <w:fldChar w:fldCharType="separate"/>
            </w:r>
            <w:r w:rsidR="00020233">
              <w:rPr>
                <w:noProof/>
                <w:webHidden/>
              </w:rPr>
              <w:t>32</w:t>
            </w:r>
            <w:r w:rsidR="006F2651" w:rsidRPr="005402C9">
              <w:rPr>
                <w:noProof/>
                <w:webHidden/>
              </w:rPr>
              <w:fldChar w:fldCharType="end"/>
            </w:r>
          </w:hyperlink>
        </w:p>
        <w:p w14:paraId="1EC57E98" w14:textId="3AD6C099" w:rsidR="006F2651" w:rsidRPr="005402C9" w:rsidRDefault="00000000">
          <w:pPr>
            <w:pStyle w:val="TOC1"/>
            <w:rPr>
              <w:rFonts w:eastAsiaTheme="minorEastAsia" w:cstheme="minorBidi"/>
              <w:noProof/>
              <w:kern w:val="2"/>
              <w:sz w:val="22"/>
              <w:szCs w:val="22"/>
              <w14:ligatures w14:val="standardContextual"/>
            </w:rPr>
          </w:pPr>
          <w:hyperlink w:anchor="_Toc150159480" w:history="1">
            <w:r w:rsidR="006F2651" w:rsidRPr="005402C9">
              <w:rPr>
                <w:rStyle w:val="Hyperlink"/>
                <w:bCs/>
                <w:noProof/>
              </w:rPr>
              <w:t>12</w:t>
            </w:r>
            <w:r w:rsidR="006F2651" w:rsidRPr="005402C9">
              <w:rPr>
                <w:rStyle w:val="Hyperlink"/>
                <w:noProof/>
              </w:rPr>
              <w:t xml:space="preserve">. </w:t>
            </w:r>
            <w:r w:rsidR="006F2651" w:rsidRPr="005402C9">
              <w:rPr>
                <w:rStyle w:val="Hyperlink"/>
                <w:bCs/>
                <w:noProof/>
              </w:rPr>
              <w:t>CONTRIBUȚIA INVESTIȚIEI LA OBIECTIVELE ASUMATE PENTRU REALIZAREA INDICATORILOR DIN DOMENIUL CLIMEI ȘI DIN DOMENIUL DIGITAL</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_Toc150159480 \h </w:instrText>
            </w:r>
            <w:r w:rsidR="006F2651" w:rsidRPr="005402C9">
              <w:rPr>
                <w:noProof/>
                <w:webHidden/>
              </w:rPr>
            </w:r>
            <w:r w:rsidR="006F2651" w:rsidRPr="005402C9">
              <w:rPr>
                <w:noProof/>
                <w:webHidden/>
              </w:rPr>
              <w:fldChar w:fldCharType="separate"/>
            </w:r>
            <w:r w:rsidR="00020233">
              <w:rPr>
                <w:noProof/>
                <w:webHidden/>
              </w:rPr>
              <w:t>33</w:t>
            </w:r>
            <w:r w:rsidR="006F2651" w:rsidRPr="005402C9">
              <w:rPr>
                <w:noProof/>
                <w:webHidden/>
              </w:rPr>
              <w:fldChar w:fldCharType="end"/>
            </w:r>
          </w:hyperlink>
        </w:p>
        <w:p w14:paraId="199655E7" w14:textId="42B2E68C" w:rsidR="006F2651" w:rsidRPr="005402C9" w:rsidRDefault="00000000">
          <w:pPr>
            <w:pStyle w:val="TOC1"/>
            <w:rPr>
              <w:rFonts w:eastAsiaTheme="minorEastAsia" w:cstheme="minorBidi"/>
              <w:noProof/>
              <w:kern w:val="2"/>
              <w:sz w:val="22"/>
              <w:szCs w:val="22"/>
              <w14:ligatures w14:val="standardContextual"/>
            </w:rPr>
          </w:pPr>
          <w:hyperlink w:anchor="_Toc150159481" w:history="1">
            <w:r w:rsidR="006F2651" w:rsidRPr="005402C9">
              <w:rPr>
                <w:rStyle w:val="Hyperlink"/>
                <w:bCs/>
                <w:noProof/>
              </w:rPr>
              <w:t>13. ANEXE LA GHID</w:t>
            </w:r>
            <w:r w:rsidR="006F2651" w:rsidRPr="005402C9">
              <w:rPr>
                <w:noProof/>
                <w:webHidden/>
              </w:rPr>
              <w:tab/>
            </w:r>
            <w:r w:rsidR="006F2651" w:rsidRPr="005402C9">
              <w:rPr>
                <w:noProof/>
                <w:webHidden/>
              </w:rPr>
              <w:fldChar w:fldCharType="begin"/>
            </w:r>
            <w:r w:rsidR="006F2651" w:rsidRPr="005402C9">
              <w:rPr>
                <w:noProof/>
                <w:webHidden/>
              </w:rPr>
              <w:instrText xml:space="preserve"> PAGEREF _Toc150159481 \h </w:instrText>
            </w:r>
            <w:r w:rsidR="006F2651" w:rsidRPr="005402C9">
              <w:rPr>
                <w:noProof/>
                <w:webHidden/>
              </w:rPr>
            </w:r>
            <w:r w:rsidR="006F2651" w:rsidRPr="005402C9">
              <w:rPr>
                <w:noProof/>
                <w:webHidden/>
              </w:rPr>
              <w:fldChar w:fldCharType="separate"/>
            </w:r>
            <w:r w:rsidR="00020233">
              <w:rPr>
                <w:noProof/>
                <w:webHidden/>
              </w:rPr>
              <w:t>33</w:t>
            </w:r>
            <w:r w:rsidR="006F2651" w:rsidRPr="005402C9">
              <w:rPr>
                <w:noProof/>
                <w:webHidden/>
              </w:rPr>
              <w:fldChar w:fldCharType="end"/>
            </w:r>
          </w:hyperlink>
        </w:p>
        <w:p w14:paraId="012E03F7" w14:textId="376A39BD" w:rsidR="0001663E" w:rsidRPr="005402C9" w:rsidRDefault="0001663E">
          <w:r w:rsidRPr="005402C9">
            <w:rPr>
              <w:b/>
              <w:bCs/>
              <w:noProof/>
            </w:rPr>
            <w:lastRenderedPageBreak/>
            <w:fldChar w:fldCharType="end"/>
          </w:r>
        </w:p>
      </w:sdtContent>
    </w:sdt>
    <w:p w14:paraId="16896335" w14:textId="4CC6DB73" w:rsidR="0013489D" w:rsidRPr="005402C9" w:rsidRDefault="00412F9F" w:rsidP="002044FE">
      <w:pPr>
        <w:pStyle w:val="Heading1"/>
        <w:jc w:val="both"/>
      </w:pPr>
      <w:bookmarkStart w:id="3" w:name="_Toc150159444"/>
      <w:r w:rsidRPr="005402C9">
        <w:t xml:space="preserve">0. </w:t>
      </w:r>
      <w:r w:rsidR="0013489D" w:rsidRPr="005402C9">
        <w:t>CADRUL LEGAL</w:t>
      </w:r>
      <w:bookmarkEnd w:id="3"/>
      <w:r w:rsidR="0013489D" w:rsidRPr="005402C9">
        <w:t xml:space="preserve"> </w:t>
      </w:r>
    </w:p>
    <w:p w14:paraId="2C1FB418" w14:textId="123BADDB" w:rsidR="008620EF" w:rsidRPr="005402C9" w:rsidRDefault="00F60438" w:rsidP="002044FE">
      <w:pPr>
        <w:jc w:val="both"/>
        <w:rPr>
          <w:sz w:val="22"/>
          <w:szCs w:val="22"/>
        </w:rPr>
      </w:pPr>
      <w:r w:rsidRPr="005402C9">
        <w:rPr>
          <w:sz w:val="22"/>
          <w:szCs w:val="22"/>
        </w:rPr>
        <w:t>La baza elaborării prezentului ghid se află următoarele acte normative/măsuri naționale și europene:</w:t>
      </w:r>
    </w:p>
    <w:p w14:paraId="71CC8275" w14:textId="77777777" w:rsidR="002C6385" w:rsidRPr="005402C9" w:rsidRDefault="002C6385" w:rsidP="002C6385">
      <w:pPr>
        <w:spacing w:line="276" w:lineRule="auto"/>
        <w:jc w:val="both"/>
        <w:rPr>
          <w:sz w:val="22"/>
          <w:szCs w:val="22"/>
        </w:rPr>
      </w:pPr>
      <w:r w:rsidRPr="005402C9">
        <w:rPr>
          <w:sz w:val="22"/>
          <w:szCs w:val="22"/>
        </w:rPr>
        <w:t xml:space="preserve">1. Reglementări comunitare: </w:t>
      </w:r>
    </w:p>
    <w:p w14:paraId="4DB5B871"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Regulamentul UE nr. 241/2021 al Parlamentului European și al Consiliului din 12 februarie 2021 de instituire a Mecanismului de Redresare şi Reziliență;</w:t>
      </w:r>
    </w:p>
    <w:p w14:paraId="4F719D4B"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Decizia de punere în aplicare a Consiliului de aprobare a evaluării planului de redresare și reziliență al României din data de 03 noiembrie 2021 (CID);</w:t>
      </w:r>
    </w:p>
    <w:p w14:paraId="54AC22B5"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Comunicarea Comisiei - 2021/C 528/02 - Criterii pentru analiza compatibilității cu piața internă a ajutorului de stat destinat să promoveze realizarea unor proiecte importante de interes european comun;</w:t>
      </w:r>
    </w:p>
    <w:p w14:paraId="6ABC5923"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Decizia Comisiei Europene C(2023) 3817 din 08.06.2023 cu privire la aprobarea ajutoarelor de stat individuale pentru proiectul important de interes european comun în domeniul microelectronicii și al tehnologiilor comunicațiilor;</w:t>
      </w:r>
    </w:p>
    <w:p w14:paraId="56B47652" w14:textId="77777777" w:rsidR="002C6385" w:rsidRPr="005402C9" w:rsidRDefault="002C6385" w:rsidP="002C6385">
      <w:pPr>
        <w:spacing w:line="276" w:lineRule="auto"/>
        <w:jc w:val="both"/>
        <w:rPr>
          <w:sz w:val="22"/>
          <w:szCs w:val="22"/>
        </w:rPr>
      </w:pPr>
      <w:r w:rsidRPr="005402C9">
        <w:rPr>
          <w:sz w:val="22"/>
          <w:szCs w:val="22"/>
        </w:rPr>
        <w:t>2. Legislație națională:</w:t>
      </w:r>
    </w:p>
    <w:p w14:paraId="642C0320"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Legea nr. 500/2002 privind finanțele publice, cu modificările şi completările ulterioare;</w:t>
      </w:r>
    </w:p>
    <w:p w14:paraId="0780CC94"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Ordonanța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w:t>
      </w:r>
    </w:p>
    <w:p w14:paraId="7334F718"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 xml:space="preserve">Ordonanţa de urgenţă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  </w:t>
      </w:r>
    </w:p>
    <w:p w14:paraId="51F84FCD"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Ordonanţa de urgență a Guvernului nr. 77/2014 privind procedurile naţionale în domeniul ajutorului de stat, precum şi pentru modificarea şi completarea Legii concurenţei nr. 21/1996, aprobată cu modificări şi completări prin Legea nr. 20/2015, cu modificările şi completările ulterioare;Hotărârea Guvernului nr. 209/2022 pentru aprobarea Normelor metodologice de aplicare a prevederilor OUG nr. 124/2021;</w:t>
      </w:r>
    </w:p>
    <w:p w14:paraId="3E1A3D85"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Hotărârea Guvernului nr. 264/2003 privind stabilirea acțiunilor și categoriilor de cheltuieli, criteriilor, procedurilor și limitelor pentru efectuarea de plăți în avans din fonduri publice, republicată;</w:t>
      </w:r>
    </w:p>
    <w:p w14:paraId="0FB6ED30"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Hotărârea Guvernului nr. 856/2022 privind aprobarea Programului pentru acordarea de sprijin financiar din fonduri externe nerambursabile pentru proiectele care se finanțează din cadrul Componentei C9. Suport pentru sectorul privat, cercetare, dezvoltare și inovare, Investiția 4. Proiecte transfrontaliere și multinaționale - Procesoare cu consum redus de energie și cipuri semiconductoare, finanțate prin Mecanismul de redresare și reziliență;</w:t>
      </w:r>
    </w:p>
    <w:p w14:paraId="77B6040E"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 xml:space="preserve">Acordul de implementare nr. 153937/4169/26.09.2023 privind implementarea Programului pentru acordarea de sprijin financiar din fonduri externe nerambursabile pentru proiectele care </w:t>
      </w:r>
      <w:r w:rsidRPr="005402C9">
        <w:rPr>
          <w:sz w:val="22"/>
          <w:szCs w:val="22"/>
        </w:rPr>
        <w:lastRenderedPageBreak/>
        <w:t xml:space="preserve">se finanţează din cadrul Componentei C9. Suport pentru sectorul privat, cercetare, dezvoltare şi inovare, Investiţia 4. Proiecte transfrontaliere şi multinaţionale - Procesoare cu consum redus de energie şi cipuri semiconductoare, finanţate prin Mecanismul de redresare şi rezilienţă, aprobat prin Hotărârea Guvernului nr. 856/2022; </w:t>
      </w:r>
    </w:p>
    <w:p w14:paraId="1CC68114" w14:textId="77777777"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 xml:space="preserve">Ordinul ministrului economiei nr. 99/01.02.2022 privind preselecția potențialilor participanți direcți și indirecți la proiectul important de interes comun european în microelectronică și tehnologia comunicației; </w:t>
      </w:r>
    </w:p>
    <w:p w14:paraId="578878FC" w14:textId="560BEE44" w:rsidR="002C6385" w:rsidRPr="005402C9" w:rsidRDefault="002C6385" w:rsidP="002C6385">
      <w:pPr>
        <w:spacing w:line="276" w:lineRule="auto"/>
        <w:jc w:val="both"/>
        <w:rPr>
          <w:sz w:val="22"/>
          <w:szCs w:val="22"/>
        </w:rPr>
      </w:pPr>
      <w:r w:rsidRPr="005402C9">
        <w:rPr>
          <w:sz w:val="22"/>
          <w:szCs w:val="22"/>
        </w:rPr>
        <w:t></w:t>
      </w:r>
      <w:r w:rsidRPr="005402C9">
        <w:rPr>
          <w:sz w:val="22"/>
          <w:szCs w:val="22"/>
        </w:rPr>
        <w:tab/>
        <w:t xml:space="preserve">Ordinul </w:t>
      </w:r>
      <w:r w:rsidR="002044FE" w:rsidRPr="002044FE">
        <w:rPr>
          <w:sz w:val="22"/>
          <w:szCs w:val="22"/>
        </w:rPr>
        <w:t xml:space="preserve">ministrului investițiilor și proiectelor europene și al ministrului economiei, antreprenoriatului și turismului nr. 3.875/1.140/2023 </w:t>
      </w:r>
      <w:r w:rsidRPr="005402C9">
        <w:rPr>
          <w:sz w:val="22"/>
          <w:szCs w:val="22"/>
        </w:rPr>
        <w:t>privind aprobarea schemei de ajutor de stat pentru acordarea de sprijin financiar participanților indirecți la proiectul important de interes european comun, aferentă Componentei C9. Suport pentru sectorul privat, cercetare, dezvoltare și inovare, Investiția 4. Proiecte transfrontaliere și multinaționale - Procesoare cu consum redus de energie și cipuri semiconductoare, din cadrul Mecanismului de redresare și reziliență</w:t>
      </w:r>
    </w:p>
    <w:p w14:paraId="16BE9F9C" w14:textId="77777777" w:rsidR="00BF335E" w:rsidRPr="005402C9" w:rsidRDefault="00BF335E" w:rsidP="002C6385">
      <w:pPr>
        <w:spacing w:line="276" w:lineRule="auto"/>
        <w:jc w:val="both"/>
        <w:rPr>
          <w:sz w:val="22"/>
          <w:szCs w:val="22"/>
        </w:rPr>
      </w:pPr>
    </w:p>
    <w:p w14:paraId="688DF863" w14:textId="4140DBE1" w:rsidR="005A3D13" w:rsidRPr="005402C9" w:rsidRDefault="005A3D13" w:rsidP="0013489D">
      <w:pPr>
        <w:pStyle w:val="Heading1"/>
      </w:pPr>
      <w:bookmarkStart w:id="4" w:name="_Toc150159445"/>
      <w:r w:rsidRPr="005402C9">
        <w:t>1. INFORMAȚII DESPRE APELUL DE PROIECTE</w:t>
      </w:r>
      <w:bookmarkEnd w:id="4"/>
      <w:r w:rsidRPr="005402C9">
        <w:t xml:space="preserve"> </w:t>
      </w:r>
    </w:p>
    <w:p w14:paraId="6FABD5BC" w14:textId="474507C2" w:rsidR="008620EF" w:rsidRPr="005402C9" w:rsidRDefault="006403FC" w:rsidP="0013489D">
      <w:pPr>
        <w:pStyle w:val="Heading2"/>
        <w:rPr>
          <w:sz w:val="22"/>
          <w:szCs w:val="22"/>
        </w:rPr>
      </w:pPr>
      <w:bookmarkStart w:id="5" w:name="_30j0zll"/>
      <w:bookmarkStart w:id="6" w:name="_Toc150159446"/>
      <w:bookmarkEnd w:id="5"/>
      <w:r w:rsidRPr="005402C9">
        <w:rPr>
          <w:color w:val="7030A0"/>
          <w:sz w:val="22"/>
          <w:szCs w:val="22"/>
        </w:rPr>
        <w:t>1</w:t>
      </w:r>
      <w:r w:rsidR="00F60438" w:rsidRPr="005402C9">
        <w:rPr>
          <w:color w:val="7030A0"/>
          <w:sz w:val="22"/>
          <w:szCs w:val="22"/>
        </w:rPr>
        <w:t>.1.Pilonul, componenta, obiectivul general</w:t>
      </w:r>
      <w:bookmarkEnd w:id="6"/>
    </w:p>
    <w:p w14:paraId="5DE79E69" w14:textId="7023719D" w:rsidR="008620EF" w:rsidRPr="003369DD" w:rsidRDefault="00E55D55" w:rsidP="00AB5FF3">
      <w:pPr>
        <w:spacing w:line="276" w:lineRule="auto"/>
        <w:jc w:val="both"/>
        <w:rPr>
          <w:sz w:val="22"/>
          <w:szCs w:val="22"/>
        </w:rPr>
      </w:pPr>
      <w:r w:rsidRPr="005402C9">
        <w:rPr>
          <w:bCs/>
          <w:sz w:val="22"/>
          <w:szCs w:val="22"/>
        </w:rPr>
        <w:t xml:space="preserve">Prezentul ghid </w:t>
      </w:r>
      <w:r w:rsidR="001D66EB" w:rsidRPr="005402C9">
        <w:rPr>
          <w:bCs/>
          <w:sz w:val="22"/>
          <w:szCs w:val="22"/>
        </w:rPr>
        <w:t xml:space="preserve">vizează </w:t>
      </w:r>
      <w:r w:rsidRPr="005402C9">
        <w:rPr>
          <w:bCs/>
          <w:sz w:val="22"/>
          <w:szCs w:val="22"/>
        </w:rPr>
        <w:t>implementarea</w:t>
      </w:r>
      <w:r w:rsidRPr="005402C9">
        <w:rPr>
          <w:b/>
          <w:sz w:val="22"/>
          <w:szCs w:val="22"/>
        </w:rPr>
        <w:t xml:space="preserve"> </w:t>
      </w:r>
      <w:r w:rsidR="001D66EB" w:rsidRPr="005402C9">
        <w:rPr>
          <w:bCs/>
          <w:sz w:val="22"/>
          <w:szCs w:val="22"/>
        </w:rPr>
        <w:t>unei investiții d</w:t>
      </w:r>
      <w:r w:rsidRPr="005402C9">
        <w:rPr>
          <w:bCs/>
          <w:sz w:val="22"/>
          <w:szCs w:val="22"/>
        </w:rPr>
        <w:t>in</w:t>
      </w:r>
      <w:r w:rsidR="001D66EB" w:rsidRPr="005402C9">
        <w:rPr>
          <w:bCs/>
          <w:sz w:val="22"/>
          <w:szCs w:val="22"/>
        </w:rPr>
        <w:t xml:space="preserve"> cadrul</w:t>
      </w:r>
      <w:r w:rsidRPr="005402C9">
        <w:rPr>
          <w:b/>
          <w:sz w:val="22"/>
          <w:szCs w:val="22"/>
        </w:rPr>
        <w:t xml:space="preserve"> </w:t>
      </w:r>
      <w:r w:rsidR="002044FE">
        <w:rPr>
          <w:b/>
          <w:sz w:val="22"/>
          <w:szCs w:val="22"/>
        </w:rPr>
        <w:t xml:space="preserve">PNRR, </w:t>
      </w:r>
      <w:r w:rsidR="00F60438" w:rsidRPr="005402C9">
        <w:rPr>
          <w:b/>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r w:rsidR="003369DD">
        <w:rPr>
          <w:b/>
          <w:sz w:val="22"/>
          <w:szCs w:val="22"/>
        </w:rPr>
        <w:t xml:space="preserve">, </w:t>
      </w:r>
      <w:r w:rsidR="00F60438" w:rsidRPr="005402C9">
        <w:rPr>
          <w:b/>
          <w:sz w:val="22"/>
          <w:szCs w:val="22"/>
        </w:rPr>
        <w:t>Componenta C9. SUPORT PENTRU SECTORUL PRIVAT, CERCETARE, DEZVOLTARE ȘI INOVARE</w:t>
      </w:r>
      <w:r w:rsidR="003369DD">
        <w:rPr>
          <w:b/>
          <w:sz w:val="22"/>
          <w:szCs w:val="22"/>
        </w:rPr>
        <w:t>.</w:t>
      </w:r>
    </w:p>
    <w:p w14:paraId="6ABD7850" w14:textId="1ACA876D" w:rsidR="001D66EB" w:rsidRPr="005402C9" w:rsidRDefault="001D66EB" w:rsidP="001D66EB">
      <w:pPr>
        <w:spacing w:line="276" w:lineRule="auto"/>
        <w:jc w:val="both"/>
        <w:rPr>
          <w:sz w:val="22"/>
          <w:szCs w:val="22"/>
        </w:rPr>
      </w:pPr>
      <w:r w:rsidRPr="005402C9">
        <w:rPr>
          <w:b/>
          <w:bCs/>
          <w:sz w:val="22"/>
          <w:szCs w:val="22"/>
        </w:rPr>
        <w:t>Obiectivul componentei 9</w:t>
      </w:r>
      <w:r w:rsidRPr="005402C9">
        <w:rPr>
          <w:sz w:val="22"/>
          <w:szCs w:val="22"/>
        </w:rPr>
        <w:t xml:space="preserve"> îl reprezintă crearea unui mediu sustenabil, predictiv și simplificat pentru derularea activității mediului de afaceri, creșterea accesului la finanțare, prin dezvoltarea de instrumente adaptate nevoilor întreprinderilor, cu accent inclusiv pe contribuția la schimbările climatice și tranziția digitală, creșterea capacității de inovare a sistemului CDI pentru crearea de sinergii cercetare – mediu de afaceri, precum și dezvoltarea premiselor necesare pentru reformarea sustenabilă a companiilor de stat.</w:t>
      </w:r>
    </w:p>
    <w:p w14:paraId="01BD8921" w14:textId="77777777" w:rsidR="001D66EB" w:rsidRPr="005402C9" w:rsidRDefault="001D66EB" w:rsidP="001D66EB">
      <w:pPr>
        <w:spacing w:line="276" w:lineRule="auto"/>
        <w:jc w:val="both"/>
        <w:rPr>
          <w:sz w:val="22"/>
          <w:szCs w:val="22"/>
        </w:rPr>
      </w:pPr>
      <w:r w:rsidRPr="005402C9">
        <w:rPr>
          <w:sz w:val="22"/>
          <w:szCs w:val="22"/>
        </w:rPr>
        <w:t xml:space="preserve">Reformele și investițiile vor contribui la abordarea recomandărilor specifice adresate României în 2019 și 2020 cu privire la necesitatea de a îmbunătăți calitatea și previzibilitatea procesului decizional (recomandarea specifică țării 5, 2019) și la avansarea proiectelor de investiții publice mature care promovează competitivitatea economiei, cum ar fi sprijinirea activităților de cercetare și dezvoltare și integrarea furnizorilor locali în lanțurile valorice strategice ale UE (recomandarea specifică țării 3, 2020). </w:t>
      </w:r>
    </w:p>
    <w:p w14:paraId="357119FD" w14:textId="5F427853" w:rsidR="001D66EB" w:rsidRPr="005402C9" w:rsidRDefault="001D66EB" w:rsidP="001D66EB">
      <w:pPr>
        <w:spacing w:line="276" w:lineRule="auto"/>
        <w:jc w:val="both"/>
        <w:rPr>
          <w:sz w:val="22"/>
          <w:szCs w:val="22"/>
        </w:rPr>
      </w:pPr>
      <w:r w:rsidRPr="005402C9">
        <w:rPr>
          <w:sz w:val="22"/>
          <w:szCs w:val="22"/>
        </w:rPr>
        <w:t>Se preconizează că nicio măsură din cadrul acestei componente nu prejudiciază în mod semnificativ obiectivele de mediu în sensul articolului 17 din Regulamentul (UE) 2020/852, ținând seama de descrierea măsurilor și a etapelor de atenuare prevăzute în planul de redresare și reziliență în conformitate cu Orientările tehnice privind aplicarea principiului de „a nu prejudicia în mod semnificativ” („Orientările tehnice DNSH”) (2021/C58/01).</w:t>
      </w:r>
    </w:p>
    <w:p w14:paraId="67E9C4B9" w14:textId="77777777" w:rsidR="001D66EB" w:rsidRDefault="001D66EB" w:rsidP="001D66EB">
      <w:pPr>
        <w:spacing w:line="276" w:lineRule="auto"/>
        <w:jc w:val="both"/>
        <w:rPr>
          <w:b/>
          <w:sz w:val="22"/>
          <w:szCs w:val="22"/>
        </w:rPr>
      </w:pPr>
    </w:p>
    <w:p w14:paraId="0FCE3E78" w14:textId="77777777" w:rsidR="003369DD" w:rsidRDefault="003369DD" w:rsidP="001D66EB">
      <w:pPr>
        <w:spacing w:line="276" w:lineRule="auto"/>
        <w:jc w:val="both"/>
        <w:rPr>
          <w:b/>
          <w:sz w:val="22"/>
          <w:szCs w:val="22"/>
        </w:rPr>
      </w:pPr>
    </w:p>
    <w:p w14:paraId="720C0366" w14:textId="77777777" w:rsidR="003369DD" w:rsidRPr="005402C9" w:rsidRDefault="003369DD" w:rsidP="001D66EB">
      <w:pPr>
        <w:spacing w:line="276" w:lineRule="auto"/>
        <w:jc w:val="both"/>
        <w:rPr>
          <w:b/>
          <w:sz w:val="22"/>
          <w:szCs w:val="22"/>
        </w:rPr>
      </w:pPr>
    </w:p>
    <w:p w14:paraId="19B4F8EA" w14:textId="6481F03A" w:rsidR="008620EF" w:rsidRPr="005402C9" w:rsidRDefault="00F60438" w:rsidP="001D66EB">
      <w:pPr>
        <w:spacing w:line="276" w:lineRule="auto"/>
        <w:jc w:val="both"/>
        <w:rPr>
          <w:b/>
          <w:sz w:val="22"/>
          <w:szCs w:val="22"/>
        </w:rPr>
      </w:pPr>
      <w:r w:rsidRPr="005402C9">
        <w:rPr>
          <w:b/>
          <w:sz w:val="22"/>
          <w:szCs w:val="22"/>
        </w:rPr>
        <w:lastRenderedPageBreak/>
        <w:t xml:space="preserve">Investiția I4. Proiecte transfrontaliere și multinaționale – Procesoare cu consum redus de energie și cipuri semiconductoare </w:t>
      </w:r>
    </w:p>
    <w:p w14:paraId="0200655E" w14:textId="1AFC622D" w:rsidR="001D66EB" w:rsidRPr="005402C9" w:rsidRDefault="001D66EB" w:rsidP="004D7861">
      <w:pPr>
        <w:spacing w:line="276" w:lineRule="auto"/>
        <w:jc w:val="both"/>
        <w:rPr>
          <w:sz w:val="22"/>
          <w:szCs w:val="22"/>
        </w:rPr>
      </w:pPr>
      <w:r w:rsidRPr="005402C9">
        <w:rPr>
          <w:b/>
          <w:bCs/>
          <w:sz w:val="22"/>
          <w:szCs w:val="22"/>
        </w:rPr>
        <w:t>Obiectivul investiției 4</w:t>
      </w:r>
      <w:r w:rsidRPr="005402C9">
        <w:rPr>
          <w:color w:val="7030A0"/>
          <w:sz w:val="22"/>
          <w:szCs w:val="22"/>
        </w:rPr>
        <w:t xml:space="preserve"> </w:t>
      </w:r>
      <w:r w:rsidRPr="005402C9">
        <w:rPr>
          <w:sz w:val="22"/>
          <w:szCs w:val="22"/>
        </w:rPr>
        <w:t xml:space="preserve">este </w:t>
      </w:r>
      <w:r w:rsidR="003369DD">
        <w:rPr>
          <w:sz w:val="22"/>
          <w:szCs w:val="22"/>
        </w:rPr>
        <w:t xml:space="preserve">acela </w:t>
      </w:r>
      <w:r w:rsidRPr="005402C9">
        <w:rPr>
          <w:sz w:val="22"/>
          <w:szCs w:val="22"/>
        </w:rPr>
        <w:t>de a sprijini dezvoltarea domeniului microelectronicii în România, abordând una dintre provocările existente la nivelul UE și sprijinind tranziția digitală. Investiția constă în acțiuni care vizează: i) structurarea și dezvoltarea competențelor de concepție, fabricație și aplicare a componentelor și sistemelor microelectronice într-un ecosistem național coerent; ii) securizarea proprietății intelectuale și accelerarea aplicării tehnologiilor avansate în domenii esențiale ale economiei naționale cum sunt industria automobilului, sănătatea sau agricultura de precizie, spațiul, apărarea, sectorul aeronautic; iii) coordonarea cu capabilitățile și nevoile de la nivel european, inclusiv prin participarea sau asocierea a cel puțin zece membri ai ecosistemului național la un proiect multinațional, prevăzut a fi implementat în principal ca proiect important de interes european comun, denumit în continuare PIIEC.</w:t>
      </w:r>
    </w:p>
    <w:p w14:paraId="04D9ED15" w14:textId="77777777" w:rsidR="001D66EB" w:rsidRPr="005402C9" w:rsidRDefault="001D66EB" w:rsidP="00AB5FF3">
      <w:pPr>
        <w:pStyle w:val="Default"/>
        <w:spacing w:line="276" w:lineRule="auto"/>
        <w:jc w:val="both"/>
        <w:rPr>
          <w:rFonts w:ascii="Trebuchet MS" w:hAnsi="Trebuchet MS" w:cs="Trebuchet MS"/>
          <w:color w:val="auto"/>
          <w:sz w:val="22"/>
          <w:szCs w:val="22"/>
          <w:lang w:val="ro-RO"/>
        </w:rPr>
      </w:pPr>
    </w:p>
    <w:p w14:paraId="4EBDE985" w14:textId="6DA5023A" w:rsidR="008620EF" w:rsidRPr="005402C9" w:rsidRDefault="00F60438" w:rsidP="00AB5FF3">
      <w:pPr>
        <w:pStyle w:val="Default"/>
        <w:spacing w:line="276" w:lineRule="auto"/>
        <w:jc w:val="both"/>
        <w:rPr>
          <w:rFonts w:ascii="Trebuchet MS" w:hAnsi="Trebuchet MS" w:cs="Trebuchet MS"/>
          <w:color w:val="auto"/>
          <w:sz w:val="22"/>
          <w:szCs w:val="22"/>
          <w:lang w:val="ro-RO"/>
        </w:rPr>
      </w:pPr>
      <w:r w:rsidRPr="005402C9">
        <w:rPr>
          <w:rFonts w:ascii="Trebuchet MS" w:hAnsi="Trebuchet MS" w:cs="Trebuchet MS"/>
          <w:color w:val="auto"/>
          <w:sz w:val="22"/>
          <w:szCs w:val="22"/>
          <w:lang w:val="ro-RO"/>
        </w:rPr>
        <w:t xml:space="preserve">PIIEC este un instrument cheie </w:t>
      </w:r>
      <w:r w:rsidR="003369DD" w:rsidRPr="005402C9">
        <w:rPr>
          <w:rFonts w:ascii="Trebuchet MS" w:hAnsi="Trebuchet MS" w:cs="Trebuchet MS"/>
          <w:color w:val="auto"/>
          <w:sz w:val="22"/>
          <w:szCs w:val="22"/>
          <w:lang w:val="ro-RO"/>
        </w:rPr>
        <w:t xml:space="preserve">strategic </w:t>
      </w:r>
      <w:r w:rsidRPr="005402C9">
        <w:rPr>
          <w:rFonts w:ascii="Trebuchet MS" w:hAnsi="Trebuchet MS" w:cs="Trebuchet MS"/>
          <w:color w:val="auto"/>
          <w:sz w:val="22"/>
          <w:szCs w:val="22"/>
          <w:lang w:val="ro-RO"/>
        </w:rPr>
        <w:t>în ceea ce privește implementarea Strategiei industriale a Uniunii Europene. PIIEC reunește cunoștințele, expertiza, resursele financiare și actorii economici din întreaga Uniune, pentru a depăși eșecurile importante ale pieței sau sistemice și provocările societale care altfel nu ar putea fi abordate. PIIEC este un consorțiu european la scară largă în lanțul valoric strategic, în cadrul căruia sunt implementate proiecte ale întreprinderilor strâns conectate. PIIEC prezintă proiecte cu un accent dedicat cercetării și dezvoltării, precum și o primă utilizare industrială (PUI).</w:t>
      </w:r>
    </w:p>
    <w:p w14:paraId="691B82DD" w14:textId="77777777" w:rsidR="001D66EB" w:rsidRPr="005402C9" w:rsidRDefault="001D66EB" w:rsidP="00AB5FF3">
      <w:pPr>
        <w:pStyle w:val="Default"/>
        <w:spacing w:line="276" w:lineRule="auto"/>
        <w:jc w:val="both"/>
        <w:rPr>
          <w:rFonts w:ascii="Trebuchet MS" w:hAnsi="Trebuchet MS" w:cs="Trebuchet MS"/>
          <w:color w:val="auto"/>
          <w:sz w:val="22"/>
          <w:szCs w:val="22"/>
          <w:lang w:val="ro-RO"/>
        </w:rPr>
      </w:pPr>
    </w:p>
    <w:p w14:paraId="66B47C37" w14:textId="6E5367F9" w:rsidR="008620EF" w:rsidRPr="005402C9" w:rsidRDefault="00F60438" w:rsidP="00AB5FF3">
      <w:pPr>
        <w:pStyle w:val="Default"/>
        <w:spacing w:line="276" w:lineRule="auto"/>
        <w:jc w:val="both"/>
        <w:rPr>
          <w:rFonts w:ascii="Trebuchet MS" w:hAnsi="Trebuchet MS" w:cs="Trebuchet MS"/>
          <w:color w:val="auto"/>
          <w:sz w:val="22"/>
          <w:szCs w:val="22"/>
          <w:lang w:val="ro-RO"/>
        </w:rPr>
      </w:pPr>
      <w:r w:rsidRPr="005402C9">
        <w:rPr>
          <w:rFonts w:ascii="Trebuchet MS" w:hAnsi="Trebuchet MS" w:cs="Trebuchet MS"/>
          <w:color w:val="auto"/>
          <w:sz w:val="22"/>
          <w:szCs w:val="22"/>
          <w:lang w:val="ro-RO"/>
        </w:rPr>
        <w:t>PIIEC necesită aprobarea Comisiei Europene în temeiul reglementărilor privind ajutorul de stat. Întreprinderile și statele membre în cadrul unui proces de notificare dedicat trebuie să demonstreze că PIIEC urmărește un interes european primordial și că proiectele nu ar fi realizate numai în condițiile pieței. Cu aprobarea acestora, Comisia Europeană se asigură că toate statele membre ale UE pot beneficia, că nu există o denaturare disproporționată a concurenței și că întreprinderile, respectiv proiectele acestora respectă criteriile PIIEC, astfel cum sunt stabilite în Comunicarea PIIEC - Criterii pentru analiza compatibilității cu piața internă a ajutorului de stat destinat să promoveze realizarea unor proiecte importante de interes european comun (2021/C 528/02).</w:t>
      </w:r>
    </w:p>
    <w:p w14:paraId="1E1CD1CF" w14:textId="77777777" w:rsidR="001D66EB" w:rsidRPr="005402C9" w:rsidRDefault="001D66EB" w:rsidP="00AB5FF3">
      <w:pPr>
        <w:pStyle w:val="Default"/>
        <w:spacing w:line="276" w:lineRule="auto"/>
        <w:jc w:val="both"/>
        <w:rPr>
          <w:rFonts w:ascii="Trebuchet MS" w:hAnsi="Trebuchet MS" w:cs="Trebuchet MS"/>
          <w:color w:val="auto"/>
          <w:sz w:val="22"/>
          <w:szCs w:val="22"/>
          <w:lang w:val="ro-RO"/>
        </w:rPr>
      </w:pPr>
    </w:p>
    <w:p w14:paraId="350E2F36" w14:textId="317330E3" w:rsidR="008620EF" w:rsidRPr="005402C9" w:rsidRDefault="00F60438" w:rsidP="00AB5FF3">
      <w:pPr>
        <w:pStyle w:val="Default"/>
        <w:spacing w:line="276" w:lineRule="auto"/>
        <w:jc w:val="both"/>
        <w:rPr>
          <w:rFonts w:ascii="Trebuchet MS" w:hAnsi="Trebuchet MS" w:cs="Trebuchet MS"/>
          <w:color w:val="auto"/>
          <w:sz w:val="22"/>
          <w:szCs w:val="22"/>
          <w:lang w:val="ro-RO"/>
        </w:rPr>
      </w:pPr>
      <w:r w:rsidRPr="005402C9">
        <w:rPr>
          <w:rFonts w:ascii="Trebuchet MS" w:hAnsi="Trebuchet MS" w:cs="Trebuchet MS"/>
          <w:color w:val="auto"/>
          <w:sz w:val="22"/>
          <w:szCs w:val="22"/>
          <w:lang w:val="ro-RO"/>
        </w:rPr>
        <w:t>PIIEC privind microelectronică a fost aprobat inițial în decembrie 2018. PIIEC permite țărilor participante să susțină proiecte de cooperare transnațională cu sinergii majore în microelectronică – menținând și extinzând astfel competențele europene în acest domeniu. De asemenea, se asigură că întregul lanț valoric al microelectronicii este disponibil în mod fiabil întreprinderilor locale.</w:t>
      </w:r>
    </w:p>
    <w:p w14:paraId="7C35ED4D" w14:textId="77777777" w:rsidR="008620EF" w:rsidRPr="005402C9" w:rsidRDefault="00F60438" w:rsidP="00AB5FF3">
      <w:pPr>
        <w:pStyle w:val="Default"/>
        <w:spacing w:line="276" w:lineRule="auto"/>
        <w:jc w:val="both"/>
        <w:rPr>
          <w:rFonts w:ascii="Trebuchet MS" w:hAnsi="Trebuchet MS" w:cs="Trebuchet MS"/>
          <w:color w:val="auto"/>
          <w:sz w:val="22"/>
          <w:szCs w:val="22"/>
          <w:lang w:val="ro-RO"/>
        </w:rPr>
      </w:pPr>
      <w:r w:rsidRPr="005402C9">
        <w:rPr>
          <w:rFonts w:ascii="Trebuchet MS" w:hAnsi="Trebuchet MS" w:cs="Trebuchet MS"/>
          <w:color w:val="auto"/>
          <w:sz w:val="22"/>
          <w:szCs w:val="22"/>
          <w:lang w:val="ro-RO"/>
        </w:rPr>
        <w:t>În acest context, România este unul dintre cele 18 state membre semnatare ale Declarației comune privind inițiativa europeană pentru procesoare și semiconductori, document adoptat la data de 7 decembrie 2020.</w:t>
      </w:r>
    </w:p>
    <w:p w14:paraId="3F293034" w14:textId="77777777" w:rsidR="00DE137E" w:rsidRPr="005402C9" w:rsidRDefault="00DE137E" w:rsidP="00AB5FF3">
      <w:pPr>
        <w:spacing w:line="276" w:lineRule="auto"/>
        <w:jc w:val="both"/>
        <w:rPr>
          <w:sz w:val="22"/>
          <w:szCs w:val="22"/>
        </w:rPr>
      </w:pPr>
      <w:bookmarkStart w:id="7" w:name="_3znysh7"/>
      <w:bookmarkEnd w:id="7"/>
      <w:r w:rsidRPr="005402C9">
        <w:rPr>
          <w:sz w:val="22"/>
          <w:szCs w:val="22"/>
        </w:rPr>
        <w:t>Prin implementarea PIIEC se creează soluții de conectivitate care să permită transformarea digitală în domeniul microelectronicii prin promovarea celor mai eficiente sisteme electronice din punct de vedere energetic și de infrastructuri de producție operative. Totodată, se asigură standarde europene în domeniul securității datelor și ciberneticii la fiecare nivel al lanțului valoric al microelectronicii, în special în domeniul comunicațiilor.</w:t>
      </w:r>
    </w:p>
    <w:p w14:paraId="457CBFB9" w14:textId="0EC19C32" w:rsidR="00DE137E" w:rsidRPr="005402C9" w:rsidRDefault="00DE137E" w:rsidP="00AB5FF3">
      <w:pPr>
        <w:spacing w:line="276" w:lineRule="auto"/>
        <w:jc w:val="both"/>
        <w:rPr>
          <w:sz w:val="22"/>
          <w:szCs w:val="22"/>
        </w:rPr>
      </w:pPr>
      <w:r w:rsidRPr="005402C9">
        <w:rPr>
          <w:sz w:val="22"/>
          <w:szCs w:val="22"/>
        </w:rPr>
        <w:t xml:space="preserve">Alte </w:t>
      </w:r>
      <w:r w:rsidR="001D66EB" w:rsidRPr="005402C9">
        <w:rPr>
          <w:sz w:val="22"/>
          <w:szCs w:val="22"/>
        </w:rPr>
        <w:t xml:space="preserve">obiective </w:t>
      </w:r>
      <w:r w:rsidRPr="005402C9">
        <w:rPr>
          <w:sz w:val="22"/>
          <w:szCs w:val="22"/>
        </w:rPr>
        <w:t>urmărite de implementarea PIIEC sunt contracararea eșecului de piață și consolidarea lanțurilor valorice europene ale microelectronicii și a tehnologiilor de comunicare, precum și creșterea semnificativă a amprentei producției de microelectronice pentru produse inovatoare atât în România cât și la nivelul Uniunii Europene.</w:t>
      </w:r>
    </w:p>
    <w:p w14:paraId="7EA92196" w14:textId="77777777" w:rsidR="003369DD" w:rsidRDefault="003369DD" w:rsidP="001D66EB">
      <w:pPr>
        <w:spacing w:line="276" w:lineRule="auto"/>
        <w:jc w:val="both"/>
        <w:rPr>
          <w:b/>
          <w:sz w:val="22"/>
          <w:szCs w:val="22"/>
        </w:rPr>
      </w:pPr>
    </w:p>
    <w:p w14:paraId="001551C3" w14:textId="10C8B3DF" w:rsidR="001D66EB" w:rsidRPr="005402C9" w:rsidRDefault="001D66EB" w:rsidP="001D66EB">
      <w:pPr>
        <w:spacing w:line="276" w:lineRule="auto"/>
        <w:jc w:val="both"/>
        <w:rPr>
          <w:b/>
          <w:sz w:val="22"/>
          <w:szCs w:val="22"/>
        </w:rPr>
      </w:pPr>
      <w:r w:rsidRPr="005402C9">
        <w:rPr>
          <w:b/>
          <w:sz w:val="22"/>
          <w:szCs w:val="22"/>
        </w:rPr>
        <w:lastRenderedPageBreak/>
        <w:t>Obiectivul general al apelului de proiecte</w:t>
      </w:r>
    </w:p>
    <w:p w14:paraId="4820DDD3" w14:textId="42977E5C" w:rsidR="008620EF" w:rsidRPr="005402C9" w:rsidRDefault="001D66EB" w:rsidP="00AB5FF3">
      <w:pPr>
        <w:spacing w:line="276" w:lineRule="auto"/>
        <w:jc w:val="both"/>
        <w:rPr>
          <w:sz w:val="22"/>
          <w:szCs w:val="22"/>
        </w:rPr>
      </w:pPr>
      <w:bookmarkStart w:id="8" w:name="_2et92p0"/>
      <w:bookmarkEnd w:id="8"/>
      <w:r w:rsidRPr="005402C9">
        <w:rPr>
          <w:bCs/>
          <w:sz w:val="22"/>
          <w:szCs w:val="22"/>
        </w:rPr>
        <w:t>Obiectivul general al apelului</w:t>
      </w:r>
      <w:r w:rsidR="00F60438" w:rsidRPr="005402C9">
        <w:rPr>
          <w:sz w:val="22"/>
          <w:szCs w:val="22"/>
        </w:rPr>
        <w:t xml:space="preserve"> </w:t>
      </w:r>
      <w:bookmarkStart w:id="9" w:name="_Hlk137807966"/>
      <w:r w:rsidR="00F60438" w:rsidRPr="005402C9">
        <w:rPr>
          <w:sz w:val="22"/>
          <w:szCs w:val="22"/>
        </w:rPr>
        <w:t>este acela de a</w:t>
      </w:r>
      <w:r w:rsidRPr="005402C9">
        <w:rPr>
          <w:sz w:val="22"/>
          <w:szCs w:val="22"/>
        </w:rPr>
        <w:t xml:space="preserve"> sprijini ecosistemul național în cadrul căr</w:t>
      </w:r>
      <w:r w:rsidR="003369DD">
        <w:rPr>
          <w:sz w:val="22"/>
          <w:szCs w:val="22"/>
        </w:rPr>
        <w:t>u</w:t>
      </w:r>
      <w:r w:rsidRPr="005402C9">
        <w:rPr>
          <w:sz w:val="22"/>
          <w:szCs w:val="22"/>
        </w:rPr>
        <w:t xml:space="preserve">ia pot fi atinse obiectivele </w:t>
      </w:r>
      <w:r w:rsidR="00973939" w:rsidRPr="005402C9">
        <w:rPr>
          <w:sz w:val="22"/>
          <w:szCs w:val="22"/>
        </w:rPr>
        <w:t xml:space="preserve">de </w:t>
      </w:r>
      <w:r w:rsidRPr="005402C9">
        <w:rPr>
          <w:sz w:val="22"/>
          <w:szCs w:val="22"/>
        </w:rPr>
        <w:t>structurare și dezvoltare</w:t>
      </w:r>
      <w:r w:rsidR="00973939" w:rsidRPr="005402C9">
        <w:rPr>
          <w:sz w:val="22"/>
          <w:szCs w:val="22"/>
        </w:rPr>
        <w:t xml:space="preserve"> a</w:t>
      </w:r>
      <w:r w:rsidRPr="005402C9">
        <w:rPr>
          <w:sz w:val="22"/>
          <w:szCs w:val="22"/>
        </w:rPr>
        <w:t xml:space="preserve"> competențelor de concepție</w:t>
      </w:r>
      <w:r w:rsidR="00973939" w:rsidRPr="005402C9">
        <w:rPr>
          <w:sz w:val="22"/>
          <w:szCs w:val="22"/>
        </w:rPr>
        <w:t>, fabricație și aplicare</w:t>
      </w:r>
      <w:r w:rsidRPr="005402C9">
        <w:rPr>
          <w:sz w:val="22"/>
          <w:szCs w:val="22"/>
        </w:rPr>
        <w:t xml:space="preserve"> a componentelor și sistemelor microelectronice</w:t>
      </w:r>
      <w:r w:rsidR="009F4939">
        <w:rPr>
          <w:sz w:val="22"/>
          <w:szCs w:val="22"/>
        </w:rPr>
        <w:t>. Se vor finanț</w:t>
      </w:r>
      <w:r w:rsidR="00C01249" w:rsidRPr="005402C9">
        <w:rPr>
          <w:sz w:val="22"/>
          <w:szCs w:val="22"/>
        </w:rPr>
        <w:t>a activitățil</w:t>
      </w:r>
      <w:r w:rsidR="009F4939">
        <w:rPr>
          <w:sz w:val="22"/>
          <w:szCs w:val="22"/>
        </w:rPr>
        <w:t xml:space="preserve">e </w:t>
      </w:r>
      <w:r w:rsidR="006F539F" w:rsidRPr="005402C9">
        <w:rPr>
          <w:sz w:val="22"/>
          <w:szCs w:val="22"/>
        </w:rPr>
        <w:t>de cercetare și dezvoltare realizate în comun de participantul direct și participantul indirect, în cadrul unei colaborări efective, și care trebuie să fie legate de proiectul participantului direct</w:t>
      </w:r>
      <w:r w:rsidR="009F4939">
        <w:rPr>
          <w:sz w:val="22"/>
          <w:szCs w:val="22"/>
        </w:rPr>
        <w:t xml:space="preserve">, </w:t>
      </w:r>
      <w:r w:rsidR="006F539F" w:rsidRPr="005402C9">
        <w:rPr>
          <w:sz w:val="22"/>
          <w:szCs w:val="22"/>
        </w:rPr>
        <w:t>aprobat de Comisia Europeană prin Decizia C(2023) 3817 din 08.06.2023 cu privire la aprobarea ajutoarelor de stat individuale pentru proiectul important de interes european comun în domeniul microelectronicii și al tehnologiilor comunicațiilor</w:t>
      </w:r>
      <w:bookmarkEnd w:id="9"/>
      <w:r w:rsidR="00F178D3" w:rsidRPr="005402C9">
        <w:rPr>
          <w:sz w:val="22"/>
          <w:szCs w:val="22"/>
        </w:rPr>
        <w:t>.</w:t>
      </w:r>
    </w:p>
    <w:p w14:paraId="424BFD57" w14:textId="77777777" w:rsidR="00805003" w:rsidRPr="005402C9" w:rsidRDefault="00805003" w:rsidP="00805003">
      <w:pPr>
        <w:widowControl w:val="0"/>
        <w:spacing w:after="0" w:line="276" w:lineRule="auto"/>
        <w:jc w:val="both"/>
        <w:rPr>
          <w:sz w:val="22"/>
          <w:szCs w:val="22"/>
        </w:rPr>
      </w:pPr>
      <w:r w:rsidRPr="005402C9">
        <w:rPr>
          <w:sz w:val="22"/>
          <w:szCs w:val="22"/>
        </w:rPr>
        <w:t xml:space="preserve">Un participant indirect poate depune una sau mai multe aplicații, în baza acordurilor de colaborare efectivă încheiate cu unul sau mai mulți participanți direcți, după caz, cu evitarea suprapunerii cheltuielilor în cadrul proiectelor propuse pentru finanțare, implicit evitarea dublei finanțări.  </w:t>
      </w:r>
    </w:p>
    <w:p w14:paraId="2221B6A9" w14:textId="0B51143E" w:rsidR="00CA0C24" w:rsidRPr="005402C9" w:rsidRDefault="000B168C" w:rsidP="0013489D">
      <w:pPr>
        <w:widowControl w:val="0"/>
        <w:spacing w:after="0" w:line="276" w:lineRule="auto"/>
        <w:jc w:val="both"/>
        <w:rPr>
          <w:sz w:val="22"/>
          <w:szCs w:val="22"/>
        </w:rPr>
      </w:pPr>
      <w:r w:rsidRPr="005402C9">
        <w:rPr>
          <w:sz w:val="22"/>
          <w:szCs w:val="22"/>
        </w:rPr>
        <w:t xml:space="preserve">Finalizarea etapei de selecție a solicitanților contribuie la îndeplinirea țintei 267 </w:t>
      </w:r>
      <w:r w:rsidR="00CA0C24" w:rsidRPr="005402C9">
        <w:rPr>
          <w:sz w:val="22"/>
          <w:szCs w:val="22"/>
        </w:rPr>
        <w:t xml:space="preserve">”Entități selectate pentru a participa sau a se asocia la proiect” </w:t>
      </w:r>
      <w:r w:rsidRPr="005402C9">
        <w:rPr>
          <w:sz w:val="22"/>
          <w:szCs w:val="22"/>
        </w:rPr>
        <w:t>din Anexa I</w:t>
      </w:r>
      <w:r w:rsidR="00CA0C24" w:rsidRPr="005402C9">
        <w:rPr>
          <w:sz w:val="22"/>
          <w:szCs w:val="22"/>
        </w:rPr>
        <w:t xml:space="preserve"> la Decizia de punere în aplicare a consiliului de aprobare a evaluării planului de redresare și reziliență al României și a elementelor suplimentare cuprinse în cadrul aranjamentelor operaționale ale PNRR elaborate în conformitate cu art.20 punctul 6 al Regulamentului 241/2021. Finalizarea etapei de contractare contribuie la îndeplinirea țintei 269 din Anexa I la Decizia ante</w:t>
      </w:r>
      <w:r w:rsidR="003369DD">
        <w:rPr>
          <w:sz w:val="22"/>
          <w:szCs w:val="22"/>
        </w:rPr>
        <w:t>-</w:t>
      </w:r>
      <w:r w:rsidR="00CA0C24" w:rsidRPr="005402C9">
        <w:rPr>
          <w:sz w:val="22"/>
          <w:szCs w:val="22"/>
        </w:rPr>
        <w:t>referită.</w:t>
      </w:r>
    </w:p>
    <w:p w14:paraId="55FF18E7" w14:textId="77777777" w:rsidR="00805003" w:rsidRPr="005402C9" w:rsidRDefault="00805003" w:rsidP="0013489D">
      <w:pPr>
        <w:widowControl w:val="0"/>
        <w:spacing w:after="0" w:line="276" w:lineRule="auto"/>
        <w:jc w:val="both"/>
        <w:rPr>
          <w:sz w:val="22"/>
          <w:szCs w:val="22"/>
        </w:rPr>
      </w:pPr>
    </w:p>
    <w:p w14:paraId="20F85E31" w14:textId="7817108B" w:rsidR="001244D7" w:rsidRPr="005402C9" w:rsidRDefault="001244D7" w:rsidP="0013489D">
      <w:pPr>
        <w:pStyle w:val="Heading2"/>
        <w:rPr>
          <w:color w:val="7030A0"/>
          <w:sz w:val="22"/>
          <w:szCs w:val="22"/>
        </w:rPr>
      </w:pPr>
      <w:bookmarkStart w:id="10" w:name="_Toc150159447"/>
      <w:r w:rsidRPr="005402C9">
        <w:rPr>
          <w:color w:val="7030A0"/>
          <w:sz w:val="22"/>
          <w:szCs w:val="22"/>
        </w:rPr>
        <w:t>1.2</w:t>
      </w:r>
      <w:r w:rsidRPr="005402C9">
        <w:rPr>
          <w:color w:val="7030A0"/>
          <w:sz w:val="22"/>
          <w:szCs w:val="22"/>
        </w:rPr>
        <w:tab/>
        <w:t>Tipul apelului de proiecte, durata, modalitatea și perioada de depunere a propunerilor de proiecte</w:t>
      </w:r>
      <w:bookmarkEnd w:id="10"/>
    </w:p>
    <w:p w14:paraId="5566CAA2" w14:textId="3315125E" w:rsidR="00376946" w:rsidRPr="005402C9" w:rsidRDefault="00376946" w:rsidP="00376946">
      <w:pPr>
        <w:spacing w:line="276" w:lineRule="auto"/>
        <w:jc w:val="both"/>
        <w:rPr>
          <w:sz w:val="22"/>
          <w:szCs w:val="22"/>
        </w:rPr>
      </w:pPr>
      <w:r w:rsidRPr="005402C9">
        <w:rPr>
          <w:sz w:val="22"/>
          <w:szCs w:val="22"/>
        </w:rPr>
        <w:t>Apelul de proiecte „</w:t>
      </w:r>
      <w:r w:rsidRPr="005402C9">
        <w:rPr>
          <w:b/>
          <w:bCs/>
          <w:i/>
          <w:iCs/>
          <w:sz w:val="22"/>
          <w:szCs w:val="22"/>
        </w:rPr>
        <w:t xml:space="preserve">PIIEC ME/CT – participanți indirecți” </w:t>
      </w:r>
      <w:r w:rsidRPr="005402C9">
        <w:rPr>
          <w:sz w:val="22"/>
          <w:szCs w:val="22"/>
        </w:rPr>
        <w:t xml:space="preserve">este </w:t>
      </w:r>
      <w:r w:rsidR="003369DD">
        <w:rPr>
          <w:sz w:val="22"/>
          <w:szCs w:val="22"/>
        </w:rPr>
        <w:t xml:space="preserve">un apel </w:t>
      </w:r>
      <w:r w:rsidRPr="005402C9">
        <w:rPr>
          <w:sz w:val="22"/>
          <w:szCs w:val="22"/>
        </w:rPr>
        <w:t xml:space="preserve">de tip </w:t>
      </w:r>
      <w:r w:rsidRPr="005402C9">
        <w:rPr>
          <w:b/>
          <w:bCs/>
          <w:sz w:val="22"/>
          <w:szCs w:val="22"/>
        </w:rPr>
        <w:t>necompetitiv</w:t>
      </w:r>
      <w:r w:rsidRPr="005402C9">
        <w:rPr>
          <w:b/>
          <w:sz w:val="22"/>
          <w:szCs w:val="22"/>
        </w:rPr>
        <w:t xml:space="preserve">, </w:t>
      </w:r>
      <w:r w:rsidRPr="005402C9">
        <w:rPr>
          <w:sz w:val="22"/>
          <w:szCs w:val="22"/>
        </w:rPr>
        <w:t xml:space="preserve">cu depunere de la data lansării apelului, respectiv </w:t>
      </w:r>
      <w:r w:rsidR="00637D24">
        <w:rPr>
          <w:b/>
          <w:bCs/>
          <w:sz w:val="22"/>
          <w:szCs w:val="22"/>
        </w:rPr>
        <w:t>................</w:t>
      </w:r>
      <w:r w:rsidRPr="005402C9">
        <w:rPr>
          <w:sz w:val="22"/>
          <w:szCs w:val="22"/>
        </w:rPr>
        <w:t xml:space="preserve"> până la data închiderii apelului de proiecte, respectiv data de </w:t>
      </w:r>
      <w:r w:rsidR="00637D24">
        <w:rPr>
          <w:b/>
          <w:bCs/>
          <w:sz w:val="22"/>
          <w:szCs w:val="22"/>
        </w:rPr>
        <w:t>..................</w:t>
      </w:r>
      <w:r w:rsidRPr="005402C9">
        <w:rPr>
          <w:sz w:val="22"/>
          <w:szCs w:val="22"/>
        </w:rPr>
        <w:t xml:space="preserve">. </w:t>
      </w:r>
    </w:p>
    <w:p w14:paraId="63787EB8" w14:textId="77777777" w:rsidR="00376946" w:rsidRPr="005402C9" w:rsidRDefault="00376946" w:rsidP="00376946">
      <w:pPr>
        <w:spacing w:before="0" w:after="0" w:line="276" w:lineRule="auto"/>
        <w:jc w:val="both"/>
        <w:rPr>
          <w:sz w:val="22"/>
          <w:szCs w:val="22"/>
        </w:rPr>
      </w:pPr>
      <w:r w:rsidRPr="005402C9">
        <w:rPr>
          <w:sz w:val="22"/>
          <w:szCs w:val="22"/>
        </w:rPr>
        <w:t xml:space="preserve">Cererile de finanțare și documentele anexate vor fi transmise on-line prin utilizarea platformei pentru depunerea proiectelor de investiții finanțate în cadrul Planului Național de Redresare și Reziliență. Platforma poate fi accesată la următorul link: </w:t>
      </w:r>
      <w:r>
        <w:fldChar w:fldCharType="begin"/>
      </w:r>
      <w:r>
        <w:instrText>HYPERLINK "https://proiecte.pnrr.gov.ro/" \h</w:instrText>
      </w:r>
      <w:r>
        <w:fldChar w:fldCharType="separate"/>
      </w:r>
      <w:r w:rsidRPr="005402C9">
        <w:rPr>
          <w:color w:val="0000FF"/>
          <w:sz w:val="22"/>
          <w:szCs w:val="22"/>
          <w:u w:val="single"/>
        </w:rPr>
        <w:t>https://proiecte.pnrr.gov.ro</w:t>
      </w:r>
      <w:r>
        <w:rPr>
          <w:color w:val="0000FF"/>
          <w:sz w:val="22"/>
          <w:szCs w:val="22"/>
          <w:u w:val="single"/>
        </w:rPr>
        <w:fldChar w:fldCharType="end"/>
      </w:r>
      <w:r w:rsidRPr="005402C9">
        <w:rPr>
          <w:color w:val="0000FF"/>
          <w:sz w:val="22"/>
          <w:szCs w:val="22"/>
          <w:u w:val="single"/>
        </w:rPr>
        <w:t>.</w:t>
      </w:r>
    </w:p>
    <w:p w14:paraId="20A238D4" w14:textId="77777777" w:rsidR="00376946" w:rsidRPr="005402C9" w:rsidRDefault="00376946" w:rsidP="00376946">
      <w:pPr>
        <w:spacing w:before="0" w:after="0" w:line="276" w:lineRule="auto"/>
        <w:jc w:val="both"/>
        <w:rPr>
          <w:sz w:val="22"/>
          <w:szCs w:val="22"/>
        </w:rPr>
      </w:pPr>
    </w:p>
    <w:p w14:paraId="0A6AEAA5" w14:textId="77777777" w:rsidR="00376946" w:rsidRPr="005402C9" w:rsidRDefault="00376946" w:rsidP="00376946">
      <w:pPr>
        <w:spacing w:before="0" w:after="0" w:line="276" w:lineRule="auto"/>
        <w:jc w:val="both"/>
        <w:rPr>
          <w:sz w:val="22"/>
          <w:szCs w:val="22"/>
        </w:rPr>
      </w:pPr>
      <w:r w:rsidRPr="005402C9">
        <w:rPr>
          <w:sz w:val="22"/>
          <w:szCs w:val="22"/>
        </w:rPr>
        <w:t xml:space="preserve">Manualul care conține informațiile necesare cu privire la modalitatea de completare și transmitere a cererii de finanțare și a documentelor anexe se regăsește în </w:t>
      </w:r>
      <w:r w:rsidRPr="005402C9">
        <w:rPr>
          <w:i/>
          <w:sz w:val="22"/>
          <w:szCs w:val="22"/>
        </w:rPr>
        <w:t xml:space="preserve">Instrucțiunile de utilizare privind Sistemul </w:t>
      </w:r>
      <w:r w:rsidRPr="005402C9">
        <w:rPr>
          <w:sz w:val="22"/>
          <w:szCs w:val="22"/>
        </w:rPr>
        <w:t>informatic integrat</w:t>
      </w:r>
      <w:r w:rsidRPr="005402C9">
        <w:rPr>
          <w:i/>
          <w:sz w:val="22"/>
          <w:szCs w:val="22"/>
        </w:rPr>
        <w:t xml:space="preserve"> de management pentru PNRR - Înscrierea beneficiarilor în vederea depunerii de proiecte în cadrul apelurilor</w:t>
      </w:r>
      <w:r w:rsidRPr="005402C9">
        <w:rPr>
          <w:sz w:val="22"/>
          <w:szCs w:val="22"/>
        </w:rPr>
        <w:t>, disponibil la adresa: https://mfe.gov.ro/manual-de-utilizare-platforma-proiecte-pnrr-gov-ro-actualizat-la-data-de-13-februarie-2023/.</w:t>
      </w:r>
    </w:p>
    <w:p w14:paraId="42B87650" w14:textId="77777777" w:rsidR="00376946" w:rsidRPr="005402C9" w:rsidRDefault="00376946" w:rsidP="00376946">
      <w:pPr>
        <w:spacing w:before="0" w:after="0" w:line="276" w:lineRule="auto"/>
        <w:jc w:val="both"/>
        <w:rPr>
          <w:sz w:val="22"/>
          <w:szCs w:val="22"/>
        </w:rPr>
      </w:pPr>
    </w:p>
    <w:p w14:paraId="3C0914D4" w14:textId="26095377" w:rsidR="00376946" w:rsidRPr="005402C9" w:rsidRDefault="00376946" w:rsidP="00376946">
      <w:pPr>
        <w:spacing w:before="0" w:after="0" w:line="276" w:lineRule="auto"/>
        <w:jc w:val="both"/>
        <w:rPr>
          <w:sz w:val="22"/>
          <w:szCs w:val="22"/>
        </w:rPr>
      </w:pPr>
      <w:r w:rsidRPr="005402C9">
        <w:rPr>
          <w:sz w:val="22"/>
          <w:szCs w:val="22"/>
        </w:rPr>
        <w:t>Cererile de finanțare se vor depune de către reprezentantul legal al solicitantului sau de către o persoană împuternicită de către acesta, obligatoriu printr-o împuternicire</w:t>
      </w:r>
      <w:r w:rsidRPr="00B47C3E">
        <w:rPr>
          <w:sz w:val="22"/>
          <w:szCs w:val="22"/>
        </w:rPr>
        <w:t xml:space="preserve">, conform modelului anexat la prezentul ghid (Model </w:t>
      </w:r>
      <w:r w:rsidR="00B47C3E" w:rsidRPr="00B47C3E">
        <w:rPr>
          <w:sz w:val="22"/>
          <w:szCs w:val="22"/>
        </w:rPr>
        <w:t>H</w:t>
      </w:r>
      <w:r w:rsidRPr="00B47C3E">
        <w:rPr>
          <w:sz w:val="22"/>
          <w:szCs w:val="22"/>
        </w:rPr>
        <w:t xml:space="preserve">), semnată electronic de către reprezentantul legal </w:t>
      </w:r>
      <w:r w:rsidR="008A7979" w:rsidRPr="00B47C3E">
        <w:rPr>
          <w:sz w:val="22"/>
          <w:szCs w:val="22"/>
        </w:rPr>
        <w:t>sau</w:t>
      </w:r>
      <w:r w:rsidRPr="00B47C3E">
        <w:rPr>
          <w:sz w:val="22"/>
          <w:szCs w:val="22"/>
        </w:rPr>
        <w:t xml:space="preserve"> de către împuternicit, printr-o împuternicire în formă autentică, notarială și vor fi depuse</w:t>
      </w:r>
      <w:r w:rsidRPr="005402C9">
        <w:rPr>
          <w:sz w:val="22"/>
          <w:szCs w:val="22"/>
        </w:rPr>
        <w:t xml:space="preserve"> prin sistemul informatic împreună cu toate documentele care însoțesc cererea de finanțare, în format </w:t>
      </w:r>
      <w:r w:rsidRPr="005402C9">
        <w:rPr>
          <w:i/>
          <w:sz w:val="22"/>
          <w:szCs w:val="22"/>
        </w:rPr>
        <w:t>pdf</w:t>
      </w:r>
      <w:r w:rsidRPr="005402C9">
        <w:rPr>
          <w:sz w:val="22"/>
          <w:szCs w:val="22"/>
        </w:rPr>
        <w:t>. Toate documentele se vor transmite sub semnătură electronică extinsă, certificată în conformitate cu prevederile legale în vigoare, a reprezentantului legal al solicitantului de finanțare sau, după caz, a persoanei împuternicite de către acesta.</w:t>
      </w:r>
    </w:p>
    <w:p w14:paraId="4370D358" w14:textId="77777777" w:rsidR="00376946" w:rsidRPr="005402C9" w:rsidRDefault="00376946" w:rsidP="00376946">
      <w:pPr>
        <w:spacing w:before="0" w:after="0" w:line="276" w:lineRule="auto"/>
        <w:jc w:val="both"/>
        <w:rPr>
          <w:sz w:val="22"/>
          <w:szCs w:val="22"/>
        </w:rPr>
      </w:pPr>
    </w:p>
    <w:p w14:paraId="5A68B800" w14:textId="77777777" w:rsidR="00376946" w:rsidRPr="005402C9" w:rsidRDefault="00376946" w:rsidP="00376946">
      <w:pPr>
        <w:spacing w:before="0" w:after="0" w:line="276" w:lineRule="auto"/>
        <w:jc w:val="both"/>
        <w:rPr>
          <w:sz w:val="22"/>
          <w:szCs w:val="22"/>
        </w:rPr>
      </w:pPr>
      <w:r w:rsidRPr="005402C9">
        <w:rPr>
          <w:sz w:val="22"/>
          <w:szCs w:val="22"/>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w:t>
      </w:r>
      <w:r w:rsidRPr="005402C9">
        <w:rPr>
          <w:sz w:val="22"/>
          <w:szCs w:val="22"/>
        </w:rPr>
        <w:lastRenderedPageBreak/>
        <w:t xml:space="preserve">95/46/CE, datele personale ale reprezentanților beneficiarilor vor fi prelucrate în procesul de încărcare a informațiilor în platforma informatică </w:t>
      </w:r>
      <w:r>
        <w:fldChar w:fldCharType="begin"/>
      </w:r>
      <w:r>
        <w:instrText>HYPERLINK "https://proiecte.pnrr.gov.ro/" \h</w:instrText>
      </w:r>
      <w:r>
        <w:fldChar w:fldCharType="separate"/>
      </w:r>
      <w:r w:rsidRPr="005402C9">
        <w:rPr>
          <w:color w:val="0000FF"/>
          <w:sz w:val="22"/>
          <w:szCs w:val="22"/>
          <w:u w:val="single"/>
        </w:rPr>
        <w:t>https://proiecte.pnrr.gov.ro</w:t>
      </w:r>
      <w:r>
        <w:rPr>
          <w:color w:val="0000FF"/>
          <w:sz w:val="22"/>
          <w:szCs w:val="22"/>
          <w:u w:val="single"/>
        </w:rPr>
        <w:fldChar w:fldCharType="end"/>
      </w:r>
      <w:r w:rsidRPr="005402C9">
        <w:rPr>
          <w:color w:val="0000FF"/>
          <w:sz w:val="22"/>
          <w:szCs w:val="22"/>
          <w:u w:val="single"/>
        </w:rPr>
        <w:t>.</w:t>
      </w:r>
    </w:p>
    <w:p w14:paraId="7E67BA74" w14:textId="77777777" w:rsidR="00376946" w:rsidRPr="005402C9" w:rsidRDefault="00376946" w:rsidP="00376946">
      <w:pPr>
        <w:spacing w:before="0" w:after="0" w:line="276" w:lineRule="auto"/>
        <w:jc w:val="both"/>
        <w:rPr>
          <w:sz w:val="22"/>
          <w:szCs w:val="22"/>
        </w:rPr>
      </w:pPr>
    </w:p>
    <w:p w14:paraId="6C68E7E7" w14:textId="77777777" w:rsidR="00376946" w:rsidRPr="005402C9" w:rsidRDefault="00376946" w:rsidP="00376946">
      <w:pPr>
        <w:spacing w:before="0" w:after="0" w:line="276" w:lineRule="auto"/>
        <w:jc w:val="both"/>
        <w:rPr>
          <w:sz w:val="22"/>
          <w:szCs w:val="22"/>
        </w:rPr>
      </w:pPr>
      <w:r w:rsidRPr="005402C9">
        <w:rPr>
          <w:sz w:val="22"/>
          <w:szCs w:val="22"/>
        </w:rPr>
        <w:t>Depunerea cererii de finanțare reprezintă un angajament ferm privind acordul solicitantului în nume propriu, și/sau pentru interpuși, cu privire la prelucrarea datelor cu caracter personal în evaluarea proiectului.</w:t>
      </w:r>
    </w:p>
    <w:p w14:paraId="0E842AA5" w14:textId="77777777" w:rsidR="00805003" w:rsidRPr="005402C9" w:rsidRDefault="00805003" w:rsidP="00376946">
      <w:pPr>
        <w:spacing w:before="0" w:after="0" w:line="276" w:lineRule="auto"/>
        <w:jc w:val="both"/>
        <w:rPr>
          <w:sz w:val="22"/>
          <w:szCs w:val="22"/>
        </w:rPr>
      </w:pPr>
    </w:p>
    <w:p w14:paraId="65D18D26" w14:textId="442D7D00" w:rsidR="00805003" w:rsidRPr="005402C9" w:rsidRDefault="00805003" w:rsidP="00376946">
      <w:pPr>
        <w:spacing w:before="0" w:after="0" w:line="276" w:lineRule="auto"/>
        <w:jc w:val="both"/>
        <w:rPr>
          <w:sz w:val="22"/>
          <w:szCs w:val="22"/>
        </w:rPr>
      </w:pPr>
      <w:r w:rsidRPr="005402C9">
        <w:rPr>
          <w:sz w:val="22"/>
          <w:szCs w:val="22"/>
        </w:rPr>
        <w:t>Un solicitant poate depune una sau mai multe cereri de finanțare în cadrul apelului, pentru fiecare acord de colaborare încheiat cu participanții direcți</w:t>
      </w:r>
      <w:r w:rsidR="0083188A" w:rsidRPr="005402C9">
        <w:rPr>
          <w:sz w:val="22"/>
          <w:szCs w:val="22"/>
        </w:rPr>
        <w:t xml:space="preserve"> la PIIEC ME/CT: Continental Automotive SRL, NXP Semiconductors Romania SRL și Robert Bosch SRL</w:t>
      </w:r>
      <w:r w:rsidRPr="005402C9">
        <w:rPr>
          <w:sz w:val="22"/>
          <w:szCs w:val="22"/>
        </w:rPr>
        <w:t>.</w:t>
      </w:r>
    </w:p>
    <w:p w14:paraId="79731F5D" w14:textId="77777777" w:rsidR="00376946" w:rsidRPr="005402C9" w:rsidRDefault="00376946" w:rsidP="001F3EFA">
      <w:pPr>
        <w:spacing w:before="0" w:after="0" w:line="276" w:lineRule="auto"/>
        <w:jc w:val="both"/>
        <w:rPr>
          <w:sz w:val="22"/>
          <w:szCs w:val="22"/>
        </w:rPr>
      </w:pPr>
    </w:p>
    <w:p w14:paraId="482FE50E" w14:textId="77777777" w:rsidR="001F3EFA" w:rsidRPr="005402C9" w:rsidRDefault="001F3EFA" w:rsidP="001F3EFA">
      <w:pPr>
        <w:spacing w:before="0" w:after="0" w:line="276" w:lineRule="auto"/>
        <w:jc w:val="both"/>
        <w:rPr>
          <w:b/>
          <w:bCs/>
          <w:sz w:val="22"/>
          <w:szCs w:val="22"/>
        </w:rPr>
      </w:pPr>
    </w:p>
    <w:p w14:paraId="5D6D1D2F" w14:textId="77777777" w:rsidR="00BF335E" w:rsidRPr="00B47C3E" w:rsidRDefault="001F3EFA">
      <w:pPr>
        <w:pStyle w:val="ListParagraph"/>
        <w:numPr>
          <w:ilvl w:val="0"/>
          <w:numId w:val="8"/>
        </w:numPr>
        <w:tabs>
          <w:tab w:val="left" w:pos="990"/>
        </w:tabs>
        <w:spacing w:after="0" w:line="276" w:lineRule="auto"/>
        <w:jc w:val="both"/>
        <w:outlineLvl w:val="2"/>
        <w:rPr>
          <w:rFonts w:ascii="Trebuchet MS" w:hAnsi="Trebuchet MS"/>
          <w:lang w:val="ro-RO"/>
        </w:rPr>
      </w:pPr>
      <w:bookmarkStart w:id="11" w:name="_Toc150159448"/>
      <w:r w:rsidRPr="00B47C3E">
        <w:rPr>
          <w:rFonts w:ascii="Trebuchet MS" w:eastAsia="Trebuchet MS" w:hAnsi="Trebuchet MS" w:cs="Trebuchet MS"/>
          <w:b/>
          <w:bCs/>
          <w:lang w:val="ro-RO"/>
        </w:rPr>
        <w:t>Calendar orientativ privind apelul de proiecte</w:t>
      </w:r>
      <w:bookmarkEnd w:id="11"/>
      <w:r w:rsidR="00E262EB" w:rsidRPr="00B47C3E">
        <w:rPr>
          <w:rFonts w:ascii="Trebuchet MS" w:hAnsi="Trebuchet MS"/>
          <w:lang w:val="ro-RO"/>
        </w:rPr>
        <w:t xml:space="preserve"> </w:t>
      </w:r>
    </w:p>
    <w:p w14:paraId="70732845" w14:textId="04FAC397" w:rsidR="001F3EFA" w:rsidRPr="005402C9" w:rsidRDefault="00BF335E" w:rsidP="0013489D">
      <w:pPr>
        <w:pStyle w:val="ListParagraph"/>
        <w:tabs>
          <w:tab w:val="left" w:pos="990"/>
        </w:tabs>
        <w:spacing w:after="0" w:line="276" w:lineRule="auto"/>
        <w:ind w:left="360"/>
        <w:jc w:val="both"/>
        <w:rPr>
          <w:rFonts w:ascii="Trebuchet MS" w:hAnsi="Trebuchet MS"/>
          <w:lang w:val="ro-RO"/>
        </w:rPr>
      </w:pPr>
      <w:r w:rsidRPr="005402C9">
        <w:rPr>
          <w:rFonts w:ascii="Trebuchet MS" w:hAnsi="Trebuchet MS"/>
          <w:lang w:val="ro-RO"/>
        </w:rPr>
        <w:t xml:space="preserve">Calendarul apelului este corelat cu cel </w:t>
      </w:r>
      <w:r w:rsidR="00AF4BA3">
        <w:rPr>
          <w:rFonts w:ascii="Trebuchet MS" w:hAnsi="Trebuchet MS"/>
          <w:lang w:val="ro-RO"/>
        </w:rPr>
        <w:t xml:space="preserve">care va fi </w:t>
      </w:r>
      <w:r w:rsidRPr="005402C9">
        <w:rPr>
          <w:rFonts w:ascii="Trebuchet MS" w:hAnsi="Trebuchet MS"/>
          <w:lang w:val="ro-RO"/>
        </w:rPr>
        <w:t xml:space="preserve">stabilit </w:t>
      </w:r>
      <w:r w:rsidR="00E262EB" w:rsidRPr="005402C9">
        <w:rPr>
          <w:rFonts w:ascii="Trebuchet MS" w:hAnsi="Trebuchet MS"/>
          <w:lang w:val="ro-RO"/>
        </w:rPr>
        <w:t>pentru realizarea țintelor 267 (pentru finalizarea selecției, cu termen 31.12.2023) și 269 (pentru semnarea contractelor, cu termen 30.06.2024) din Anexa nr.1 la Decizia de punere în aplicare a consiliului de aprobare a evaluării planului de redresare și reziliență al României</w:t>
      </w:r>
      <w:r w:rsidR="001F3EFA" w:rsidRPr="005402C9">
        <w:rPr>
          <w:rFonts w:ascii="Trebuchet MS" w:hAnsi="Trebuchet MS"/>
          <w:lang w:val="ro-RO"/>
        </w:rPr>
        <w:t>:</w:t>
      </w:r>
    </w:p>
    <w:p w14:paraId="0C88B89E" w14:textId="26B70596" w:rsidR="001F3EFA" w:rsidRPr="005402C9" w:rsidRDefault="001F3EFA">
      <w:pPr>
        <w:pStyle w:val="ListParagraph"/>
        <w:numPr>
          <w:ilvl w:val="0"/>
          <w:numId w:val="7"/>
        </w:numPr>
        <w:spacing w:after="0" w:line="276" w:lineRule="auto"/>
        <w:jc w:val="both"/>
        <w:rPr>
          <w:rFonts w:ascii="Trebuchet MS" w:hAnsi="Trebuchet MS"/>
          <w:lang w:val="ro-RO"/>
        </w:rPr>
      </w:pPr>
      <w:r w:rsidRPr="005402C9">
        <w:rPr>
          <w:rFonts w:ascii="Trebuchet MS" w:hAnsi="Trebuchet MS"/>
          <w:lang w:val="ro-RO"/>
        </w:rPr>
        <w:t xml:space="preserve">Dată publicare ghid: </w:t>
      </w:r>
      <w:r w:rsidR="00B47C3E">
        <w:rPr>
          <w:rFonts w:ascii="Trebuchet MS" w:hAnsi="Trebuchet MS"/>
          <w:lang w:val="ro-RO"/>
        </w:rPr>
        <w:t>................</w:t>
      </w:r>
      <w:r w:rsidRPr="005402C9">
        <w:rPr>
          <w:rFonts w:ascii="Trebuchet MS" w:hAnsi="Trebuchet MS"/>
          <w:lang w:val="ro-RO"/>
        </w:rPr>
        <w:t xml:space="preserve">; </w:t>
      </w:r>
    </w:p>
    <w:p w14:paraId="741F42FD" w14:textId="09C23F3B" w:rsidR="001F3EFA" w:rsidRPr="005402C9" w:rsidRDefault="001F3EFA">
      <w:pPr>
        <w:pStyle w:val="ListParagraph"/>
        <w:numPr>
          <w:ilvl w:val="0"/>
          <w:numId w:val="7"/>
        </w:numPr>
        <w:spacing w:after="0" w:line="276" w:lineRule="auto"/>
        <w:jc w:val="both"/>
        <w:rPr>
          <w:rFonts w:ascii="Trebuchet MS" w:hAnsi="Trebuchet MS"/>
          <w:lang w:val="ro-RO"/>
        </w:rPr>
      </w:pPr>
      <w:r w:rsidRPr="005402C9">
        <w:rPr>
          <w:rFonts w:ascii="Trebuchet MS" w:hAnsi="Trebuchet MS"/>
          <w:lang w:val="ro-RO"/>
        </w:rPr>
        <w:t xml:space="preserve">Data și ora de începere a depunerii de proiecte: </w:t>
      </w:r>
      <w:r w:rsidR="00B47C3E">
        <w:rPr>
          <w:rFonts w:ascii="Trebuchet MS" w:hAnsi="Trebuchet MS"/>
          <w:lang w:val="ro-RO"/>
        </w:rPr>
        <w:t>..................</w:t>
      </w:r>
      <w:r w:rsidRPr="005402C9">
        <w:rPr>
          <w:rFonts w:ascii="Trebuchet MS" w:hAnsi="Trebuchet MS"/>
          <w:lang w:val="ro-RO"/>
        </w:rPr>
        <w:t>;</w:t>
      </w:r>
    </w:p>
    <w:p w14:paraId="6E59C996" w14:textId="192279B5" w:rsidR="001F3EFA" w:rsidRPr="005402C9" w:rsidRDefault="001F3EFA">
      <w:pPr>
        <w:pStyle w:val="ListParagraph"/>
        <w:numPr>
          <w:ilvl w:val="0"/>
          <w:numId w:val="7"/>
        </w:numPr>
        <w:spacing w:after="0" w:line="276" w:lineRule="auto"/>
        <w:jc w:val="both"/>
        <w:rPr>
          <w:rFonts w:ascii="Trebuchet MS" w:hAnsi="Trebuchet MS"/>
          <w:lang w:val="ro-RO"/>
        </w:rPr>
      </w:pPr>
      <w:r w:rsidRPr="005402C9">
        <w:rPr>
          <w:rFonts w:ascii="Trebuchet MS" w:hAnsi="Trebuchet MS"/>
          <w:lang w:val="ro-RO"/>
        </w:rPr>
        <w:t xml:space="preserve">Data și ora de închidere a depunerii de proiecte: </w:t>
      </w:r>
      <w:r w:rsidR="00B47C3E">
        <w:rPr>
          <w:rFonts w:ascii="Trebuchet MS" w:hAnsi="Trebuchet MS"/>
          <w:lang w:val="ro-RO"/>
        </w:rPr>
        <w:t>...............</w:t>
      </w:r>
      <w:r w:rsidRPr="005402C9">
        <w:rPr>
          <w:rFonts w:ascii="Trebuchet MS" w:hAnsi="Trebuchet MS"/>
          <w:lang w:val="ro-RO"/>
        </w:rPr>
        <w:t>;</w:t>
      </w:r>
    </w:p>
    <w:p w14:paraId="05976C11" w14:textId="1DB00328" w:rsidR="001F3EFA" w:rsidRPr="005402C9" w:rsidRDefault="001F3EFA">
      <w:pPr>
        <w:pStyle w:val="ListParagraph"/>
        <w:numPr>
          <w:ilvl w:val="0"/>
          <w:numId w:val="7"/>
        </w:numPr>
        <w:spacing w:after="0" w:line="276" w:lineRule="auto"/>
        <w:jc w:val="both"/>
        <w:rPr>
          <w:rFonts w:ascii="Trebuchet MS" w:hAnsi="Trebuchet MS"/>
          <w:lang w:val="ro-RO"/>
        </w:rPr>
      </w:pPr>
      <w:r w:rsidRPr="005402C9">
        <w:rPr>
          <w:rFonts w:ascii="Trebuchet MS" w:hAnsi="Trebuchet MS"/>
          <w:lang w:val="ro-RO"/>
        </w:rPr>
        <w:t xml:space="preserve">Perioadă evaluare proiecte: </w:t>
      </w:r>
      <w:r w:rsidR="00B47C3E">
        <w:rPr>
          <w:rFonts w:ascii="Trebuchet MS" w:hAnsi="Trebuchet MS"/>
          <w:lang w:val="ro-RO"/>
        </w:rPr>
        <w:t>................</w:t>
      </w:r>
      <w:r w:rsidRPr="005402C9">
        <w:rPr>
          <w:rFonts w:ascii="Trebuchet MS" w:hAnsi="Trebuchet MS"/>
          <w:lang w:val="ro-RO"/>
        </w:rPr>
        <w:t>;</w:t>
      </w:r>
    </w:p>
    <w:p w14:paraId="6D716E4A" w14:textId="36972BDC" w:rsidR="00585CF4" w:rsidRPr="005402C9" w:rsidRDefault="001F3EFA">
      <w:pPr>
        <w:pStyle w:val="ListParagraph"/>
        <w:numPr>
          <w:ilvl w:val="0"/>
          <w:numId w:val="7"/>
        </w:numPr>
        <w:spacing w:after="0" w:line="276" w:lineRule="auto"/>
        <w:jc w:val="both"/>
        <w:rPr>
          <w:rFonts w:ascii="Trebuchet MS" w:hAnsi="Trebuchet MS"/>
          <w:lang w:val="ro-RO"/>
        </w:rPr>
      </w:pPr>
      <w:r w:rsidRPr="005402C9">
        <w:rPr>
          <w:rFonts w:ascii="Trebuchet MS" w:hAnsi="Trebuchet MS"/>
          <w:lang w:val="ro-RO"/>
        </w:rPr>
        <w:t>Perioadă estimativă de semnare a contractelor: până la data de 30.</w:t>
      </w:r>
      <w:r w:rsidR="00B47C3E">
        <w:rPr>
          <w:rFonts w:ascii="Trebuchet MS" w:hAnsi="Trebuchet MS"/>
          <w:lang w:val="ro-RO"/>
        </w:rPr>
        <w:t>06</w:t>
      </w:r>
      <w:r w:rsidRPr="005402C9">
        <w:rPr>
          <w:rFonts w:ascii="Trebuchet MS" w:hAnsi="Trebuchet MS"/>
          <w:lang w:val="ro-RO"/>
        </w:rPr>
        <w:t>.202</w:t>
      </w:r>
      <w:r w:rsidR="00B47C3E">
        <w:rPr>
          <w:rFonts w:ascii="Trebuchet MS" w:hAnsi="Trebuchet MS"/>
          <w:lang w:val="ro-RO"/>
        </w:rPr>
        <w:t>4</w:t>
      </w:r>
    </w:p>
    <w:p w14:paraId="265D1982" w14:textId="320665B9" w:rsidR="00585CF4" w:rsidRPr="005402C9" w:rsidRDefault="00585CF4">
      <w:pPr>
        <w:pStyle w:val="ListParagraph"/>
        <w:numPr>
          <w:ilvl w:val="0"/>
          <w:numId w:val="7"/>
        </w:numPr>
        <w:spacing w:after="0" w:line="276" w:lineRule="auto"/>
        <w:jc w:val="both"/>
        <w:rPr>
          <w:rFonts w:ascii="Trebuchet MS" w:hAnsi="Trebuchet MS"/>
          <w:lang w:val="ro-RO"/>
        </w:rPr>
      </w:pPr>
      <w:r w:rsidRPr="005402C9">
        <w:rPr>
          <w:rFonts w:ascii="Trebuchet MS" w:hAnsi="Trebuchet MS"/>
          <w:lang w:val="ro-RO"/>
        </w:rPr>
        <w:t>Perioadă de implementare: până la data de 31 decembrie 2028.</w:t>
      </w:r>
    </w:p>
    <w:p w14:paraId="4606B650" w14:textId="77777777" w:rsidR="001F3EFA" w:rsidRPr="005402C9" w:rsidRDefault="001F3EFA" w:rsidP="001F3EFA">
      <w:pPr>
        <w:spacing w:before="0" w:after="0" w:line="276" w:lineRule="auto"/>
        <w:jc w:val="both"/>
        <w:rPr>
          <w:sz w:val="22"/>
          <w:szCs w:val="22"/>
        </w:rPr>
      </w:pPr>
    </w:p>
    <w:p w14:paraId="361D8A90" w14:textId="66D27468" w:rsidR="006403FC" w:rsidRPr="005402C9" w:rsidRDefault="00E262EB" w:rsidP="0013489D">
      <w:pPr>
        <w:pStyle w:val="Heading3"/>
        <w:rPr>
          <w:bCs/>
          <w:sz w:val="22"/>
          <w:szCs w:val="22"/>
        </w:rPr>
      </w:pPr>
      <w:bookmarkStart w:id="12" w:name="_Toc150159449"/>
      <w:r w:rsidRPr="005402C9">
        <w:rPr>
          <w:bCs/>
          <w:sz w:val="22"/>
          <w:szCs w:val="22"/>
        </w:rPr>
        <w:t xml:space="preserve">1.2.2 </w:t>
      </w:r>
      <w:r w:rsidR="006403FC" w:rsidRPr="005402C9">
        <w:rPr>
          <w:bCs/>
          <w:sz w:val="22"/>
          <w:szCs w:val="22"/>
        </w:rPr>
        <w:t>Definiții</w:t>
      </w:r>
      <w:bookmarkEnd w:id="12"/>
    </w:p>
    <w:p w14:paraId="2AC3E93F" w14:textId="77777777" w:rsidR="006403FC" w:rsidRPr="005402C9" w:rsidRDefault="006403FC" w:rsidP="006403FC">
      <w:pPr>
        <w:suppressAutoHyphens w:val="0"/>
        <w:spacing w:before="0" w:after="0" w:line="276" w:lineRule="auto"/>
        <w:jc w:val="both"/>
        <w:rPr>
          <w:sz w:val="22"/>
          <w:szCs w:val="22"/>
        </w:rPr>
      </w:pPr>
      <w:r w:rsidRPr="005402C9">
        <w:rPr>
          <w:sz w:val="22"/>
          <w:szCs w:val="22"/>
        </w:rPr>
        <w:t>În cadrul prezentului apel, următorii termeni se utilizează cu următoarele înțelesuri:</w:t>
      </w:r>
    </w:p>
    <w:p w14:paraId="1FA3D5BD" w14:textId="77777777" w:rsidR="00731596" w:rsidRPr="005402C9" w:rsidRDefault="00731596">
      <w:pPr>
        <w:pStyle w:val="ListParagraph"/>
        <w:numPr>
          <w:ilvl w:val="0"/>
          <w:numId w:val="1"/>
        </w:numPr>
        <w:tabs>
          <w:tab w:val="left" w:pos="270"/>
        </w:tabs>
        <w:suppressAutoHyphens w:val="0"/>
        <w:spacing w:before="240" w:after="240" w:line="276" w:lineRule="auto"/>
        <w:jc w:val="both"/>
        <w:textAlignment w:val="auto"/>
        <w:rPr>
          <w:rFonts w:ascii="Trebuchet MS" w:hAnsi="Trebuchet MS"/>
          <w:lang w:val="ro-RO"/>
        </w:rPr>
      </w:pPr>
      <w:r w:rsidRPr="005402C9">
        <w:rPr>
          <w:rFonts w:ascii="Trebuchet MS" w:hAnsi="Trebuchet MS"/>
          <w:lang w:val="ro-RO"/>
        </w:rPr>
        <w:t xml:space="preserve">acord de colaborare – acord încheiat între unul dintre participanții direcți sprijiniți prin Investiția 4, Componenta 9 din PNRR, selectat de Comisia Europeană (potrivit Deciziei Comisiei Europene C(2023) 3817 din 08.06.2023 cu privire la aprobarea ajutoarelor de stat individuale pentru proiectul important de interes european comun în domeniul microelectronicii și al tehnologiilor comunicațiilor), și o întreprindere (denumită, în continuare, „participant indirect”), prin care sunt stabilite activitățile </w:t>
      </w:r>
      <w:bookmarkStart w:id="13" w:name="_Hlk149818650"/>
      <w:r w:rsidRPr="005402C9">
        <w:rPr>
          <w:rFonts w:ascii="Trebuchet MS" w:hAnsi="Trebuchet MS"/>
          <w:lang w:val="ro-RO"/>
        </w:rPr>
        <w:t>de cercetare și dezvoltare realizate în comun de cele două părți, în cadrul unei colaborări efective, și care trebuie să fie legate de proiectul participantului direct (proiect aprobat de Comisia Europeană prin decizia menționată anterior)</w:t>
      </w:r>
      <w:bookmarkEnd w:id="13"/>
      <w:r w:rsidRPr="005402C9">
        <w:rPr>
          <w:rFonts w:ascii="Trebuchet MS" w:hAnsi="Trebuchet MS"/>
          <w:lang w:val="ro-RO"/>
        </w:rPr>
        <w:t>;</w:t>
      </w:r>
    </w:p>
    <w:p w14:paraId="6B4B864E" w14:textId="77777777" w:rsidR="00731596" w:rsidRPr="005402C9" w:rsidRDefault="00731596">
      <w:pPr>
        <w:pStyle w:val="ListParagraph"/>
        <w:numPr>
          <w:ilvl w:val="0"/>
          <w:numId w:val="1"/>
        </w:numPr>
        <w:tabs>
          <w:tab w:val="left" w:pos="270"/>
        </w:tabs>
        <w:suppressAutoHyphens w:val="0"/>
        <w:spacing w:before="240" w:after="240" w:line="276" w:lineRule="auto"/>
        <w:jc w:val="both"/>
        <w:textAlignment w:val="auto"/>
        <w:rPr>
          <w:rFonts w:ascii="Trebuchet MS" w:hAnsi="Trebuchet MS"/>
          <w:b/>
          <w:bCs/>
          <w:lang w:val="ro-RO"/>
        </w:rPr>
      </w:pPr>
      <w:r w:rsidRPr="005402C9">
        <w:rPr>
          <w:rFonts w:ascii="Trebuchet MS" w:hAnsi="Trebuchet MS"/>
          <w:lang w:val="ro-RO"/>
        </w:rPr>
        <w:t>beneficiar real - este orice persoană fizică ce deține sau controlează în cele din urmă clientul și/sau persoana fizică în numele ori în interesul căreia se realizează, direct sau indirect, o tranzacție, o operațiune sau o activitate, conform prevederilor Legii nr. 129/2019 pentru prevenirea și combaterea spălării banilor și finanțării terorismului, precum și pentru modificarea și completarea unor acte normative, cu modificările și completările ulterioare;</w:t>
      </w:r>
    </w:p>
    <w:p w14:paraId="13B67106" w14:textId="77777777" w:rsidR="00731596" w:rsidRPr="005402C9" w:rsidRDefault="00731596">
      <w:pPr>
        <w:pStyle w:val="ListParagraph"/>
        <w:numPr>
          <w:ilvl w:val="0"/>
          <w:numId w:val="1"/>
        </w:numPr>
        <w:tabs>
          <w:tab w:val="left" w:pos="270"/>
        </w:tabs>
        <w:suppressAutoHyphens w:val="0"/>
        <w:spacing w:before="240" w:after="240" w:line="276" w:lineRule="auto"/>
        <w:jc w:val="both"/>
        <w:textAlignment w:val="auto"/>
        <w:rPr>
          <w:rFonts w:ascii="Trebuchet MS" w:hAnsi="Trebuchet MS"/>
          <w:lang w:val="ro-RO"/>
        </w:rPr>
      </w:pPr>
      <w:r w:rsidRPr="005402C9">
        <w:rPr>
          <w:rFonts w:ascii="Trebuchet MS" w:hAnsi="Trebuchet MS"/>
          <w:lang w:val="ro-RO"/>
        </w:rPr>
        <w:t>cercetare fundamentală – activitatea experimentală sau teoretică întreprinsă, în principal, pentru a dobândi cunoștinţe noi despre bazele fenomenelor și faptelor observabile, fără a fi avută în vedere nicio aplicare sau utilizare comercială directă;</w:t>
      </w:r>
    </w:p>
    <w:p w14:paraId="591AAB60" w14:textId="77777777" w:rsidR="00731596" w:rsidRPr="005402C9" w:rsidRDefault="00731596">
      <w:pPr>
        <w:pStyle w:val="ListParagraph"/>
        <w:numPr>
          <w:ilvl w:val="0"/>
          <w:numId w:val="1"/>
        </w:numPr>
        <w:tabs>
          <w:tab w:val="left" w:pos="270"/>
        </w:tabs>
        <w:suppressAutoHyphens w:val="0"/>
        <w:spacing w:before="240" w:after="240" w:line="276" w:lineRule="auto"/>
        <w:jc w:val="both"/>
        <w:textAlignment w:val="auto"/>
        <w:rPr>
          <w:rFonts w:ascii="Trebuchet MS" w:hAnsi="Trebuchet MS"/>
          <w:lang w:val="ro-RO"/>
        </w:rPr>
      </w:pPr>
      <w:r w:rsidRPr="005402C9">
        <w:rPr>
          <w:rFonts w:ascii="Trebuchet MS" w:hAnsi="Trebuchet MS"/>
          <w:lang w:val="ro-RO"/>
        </w:rPr>
        <w:t xml:space="preserve">cercetare industrială - cercetare sau investigaţie critică planificată în scopul dobândirii de cunoștinţe și competenţe noi pentru elaborarea unor noi produse, procese sau servicii ori pentru realizarea unei îmbunătăţiri semnificative a produselor, proceselor sau serviciilor existente, inclusiv a produselor, proceselor sau serviciilor digitale, în orice domeniu, </w:t>
      </w:r>
      <w:r w:rsidRPr="005402C9">
        <w:rPr>
          <w:rFonts w:ascii="Trebuchet MS" w:hAnsi="Trebuchet MS"/>
          <w:lang w:val="ro-RO"/>
        </w:rPr>
        <w:lastRenderedPageBreak/>
        <w:t>tehnologie, industrie sau sector (inclusiv, dar fără a se limita la acestea, industrii și tehnologii digitale, cum ar fi supercalculul, tehnologiile cuantice, tehnologiile blockchain, inteligenţa artificială, securitatea cibernetică, volumele mari de date și tehnologiile de tip cloud). Cercetarea industrială cuprinde crearea de părţi componente pentru sisteme complexe și poate include construcţia de prototipuri în laborator sau într-un mediu cu interfeţe simulate ale sistemelor existente, precum și de linii pilot, atunci când acest lucru este necesar pentru cercetarea industrială și, în special, pentru validarea tehnologiilor generice;</w:t>
      </w:r>
    </w:p>
    <w:p w14:paraId="6F2D648E" w14:textId="77777777" w:rsidR="00731596" w:rsidRPr="005402C9" w:rsidRDefault="00731596">
      <w:pPr>
        <w:pStyle w:val="ListParagraph"/>
        <w:numPr>
          <w:ilvl w:val="0"/>
          <w:numId w:val="1"/>
        </w:numPr>
        <w:tabs>
          <w:tab w:val="left" w:pos="0"/>
          <w:tab w:val="left" w:pos="270"/>
        </w:tabs>
        <w:suppressAutoHyphens w:val="0"/>
        <w:spacing w:before="240" w:after="240" w:line="276" w:lineRule="auto"/>
        <w:jc w:val="both"/>
        <w:textAlignment w:val="auto"/>
        <w:rPr>
          <w:rFonts w:ascii="Trebuchet MS" w:hAnsi="Trebuchet MS"/>
          <w:lang w:val="ro-RO"/>
        </w:rPr>
      </w:pPr>
      <w:r w:rsidRPr="005402C9">
        <w:rPr>
          <w:rFonts w:ascii="Trebuchet MS" w:hAnsi="Trebuchet MS"/>
          <w:lang w:val="ro-RO"/>
        </w:rPr>
        <w:t>colaborare efectivă înseamnă colaborare între cel puţin două părţi independente în vederea schimbului de cunoștinţe și tehnologii sau în vederea atingerii unui obiectiv comun, bazată pe diviziunea muncii, în cadrul căreia părţile definesc de comun acord domeniul de aplicare a proiectului de colaborare, contribuie la punerea în aplicare a acestuia și împart riscurile și rezultatele. Este posibil ca una sau mai multe părţi să suporte integral costurile proiectului și, prin urmare, celelalte părţi să nu fie expuse la riscurile financiare pe care le presupune acesta. Cercetarea contractuală și furnizarea de servicii de cercetare nu sunt considerate forme de colaborare;</w:t>
      </w:r>
    </w:p>
    <w:p w14:paraId="3B777DE4" w14:textId="77777777" w:rsidR="00731596" w:rsidRPr="005402C9" w:rsidRDefault="00731596">
      <w:pPr>
        <w:pStyle w:val="ListParagraph"/>
        <w:numPr>
          <w:ilvl w:val="0"/>
          <w:numId w:val="1"/>
        </w:numPr>
        <w:tabs>
          <w:tab w:val="left" w:pos="0"/>
          <w:tab w:val="left" w:pos="270"/>
        </w:tabs>
        <w:suppressAutoHyphens w:val="0"/>
        <w:spacing w:after="240" w:line="276" w:lineRule="auto"/>
        <w:jc w:val="both"/>
        <w:textAlignment w:val="auto"/>
        <w:rPr>
          <w:rFonts w:ascii="Trebuchet MS" w:hAnsi="Trebuchet MS"/>
          <w:lang w:val="ro-RO"/>
        </w:rPr>
      </w:pPr>
      <w:r w:rsidRPr="005402C9">
        <w:rPr>
          <w:rFonts w:ascii="Trebuchet MS" w:hAnsi="Trebuchet MS"/>
          <w:lang w:val="ro-RO"/>
        </w:rPr>
        <w:t>concurenţă deplină înseamnă o situaţie în care condiţiile tranzacţiei dintre părţile contractante nu diferă de cele care s-ar aplica între întreprinderi independente și nu conţin niciun element de coluziune. Se consideră că instituirea unei proceduri de atribuire deschisă, transparentă și nediscriminatorie pentru tranzacţia în cauză îndeplinește principiul concurenţei depline;</w:t>
      </w:r>
    </w:p>
    <w:p w14:paraId="6E8FA4F0" w14:textId="77777777" w:rsidR="00EF47C7" w:rsidRPr="003A5591" w:rsidRDefault="00EF47C7">
      <w:pPr>
        <w:pStyle w:val="ListParagraph"/>
        <w:numPr>
          <w:ilvl w:val="0"/>
          <w:numId w:val="1"/>
        </w:numPr>
        <w:tabs>
          <w:tab w:val="left" w:pos="0"/>
          <w:tab w:val="left" w:pos="270"/>
        </w:tabs>
        <w:suppressAutoHyphens w:val="0"/>
        <w:spacing w:before="240" w:after="240" w:line="276" w:lineRule="auto"/>
        <w:jc w:val="both"/>
        <w:textAlignment w:val="auto"/>
        <w:rPr>
          <w:rFonts w:ascii="Trebuchet MS" w:hAnsi="Trebuchet MS"/>
          <w:lang w:val="ro-RO"/>
        </w:rPr>
      </w:pPr>
      <w:r w:rsidRPr="005402C9">
        <w:rPr>
          <w:rFonts w:ascii="Trebuchet MS" w:hAnsi="Trebuchet MS"/>
          <w:lang w:val="ro-RO"/>
        </w:rPr>
        <w:t xml:space="preserve">coordonator de reforme și/sau investiții - Ministerul Investițiilor și Proiectelor Europene, responsabil de implementarea Investiției 4. Proiecte transfrontaliere și multinaționale - </w:t>
      </w:r>
      <w:r w:rsidRPr="003A5591">
        <w:rPr>
          <w:rFonts w:ascii="Trebuchet MS" w:hAnsi="Trebuchet MS"/>
          <w:lang w:val="ro-RO"/>
        </w:rPr>
        <w:t>Procesoare cu consum redus de energie și cipuri semiconductoare;</w:t>
      </w:r>
    </w:p>
    <w:p w14:paraId="722579A7" w14:textId="77777777" w:rsidR="00731596" w:rsidRPr="003A5591" w:rsidRDefault="00731596">
      <w:pPr>
        <w:pStyle w:val="ListParagraph"/>
        <w:numPr>
          <w:ilvl w:val="0"/>
          <w:numId w:val="1"/>
        </w:numPr>
        <w:tabs>
          <w:tab w:val="left" w:pos="0"/>
          <w:tab w:val="left" w:pos="270"/>
        </w:tabs>
        <w:suppressAutoHyphens w:val="0"/>
        <w:spacing w:before="240" w:after="240" w:line="276" w:lineRule="auto"/>
        <w:jc w:val="both"/>
        <w:textAlignment w:val="auto"/>
        <w:rPr>
          <w:rFonts w:ascii="Trebuchet MS" w:hAnsi="Trebuchet MS"/>
          <w:lang w:val="ro-RO"/>
        </w:rPr>
      </w:pPr>
      <w:r w:rsidRPr="003A5591">
        <w:rPr>
          <w:rFonts w:ascii="Trebuchet MS" w:hAnsi="Trebuchet MS"/>
          <w:lang w:val="ro-RO"/>
        </w:rPr>
        <w:t>data acordării ajutorului - data la care dreptul legal de a primi ajutorul este conferit beneficiarului în conformitate cu regimul juridic național aplicabil, respectiv data semnării contractului de finanțare;</w:t>
      </w:r>
    </w:p>
    <w:p w14:paraId="22B8F61A" w14:textId="50FF6549" w:rsidR="00731596" w:rsidRPr="003A5591" w:rsidRDefault="00731596">
      <w:pPr>
        <w:pStyle w:val="ListParagraph"/>
        <w:numPr>
          <w:ilvl w:val="0"/>
          <w:numId w:val="1"/>
        </w:numPr>
        <w:tabs>
          <w:tab w:val="left" w:pos="0"/>
          <w:tab w:val="left" w:pos="270"/>
        </w:tabs>
        <w:suppressAutoHyphens w:val="0"/>
        <w:spacing w:after="0" w:line="276" w:lineRule="auto"/>
        <w:jc w:val="both"/>
        <w:textAlignment w:val="auto"/>
        <w:rPr>
          <w:rFonts w:ascii="Trebuchet MS" w:hAnsi="Trebuchet MS"/>
          <w:lang w:val="ro-RO"/>
        </w:rPr>
      </w:pPr>
      <w:r w:rsidRPr="003A5591">
        <w:rPr>
          <w:rFonts w:ascii="Trebuchet MS" w:hAnsi="Trebuchet MS"/>
          <w:lang w:val="ro-RO"/>
        </w:rPr>
        <w:t>dezvoltare experimentală - dobândirea, combinarea, modelarea și utilizarea unor cunoștinţe și</w:t>
      </w:r>
      <w:r w:rsidRPr="005402C9">
        <w:rPr>
          <w:rFonts w:ascii="Trebuchet MS" w:hAnsi="Trebuchet MS"/>
          <w:lang w:val="ro-RO"/>
        </w:rPr>
        <w:t xml:space="preserve"> competenţe relevante existente de ordin știinţific, tehnologic, de afaceri și altele, cu scopul de a dezvolta produse, procese sau servicii noi ori îmbunătăţite, inclusiv produse, procese sau servicii digitale, în orice domeniu, tehnologie, industrie sau sector (inclusiv, dar fără a se limita la acestea, industrii și tehnologii digitale, cum ar fi, de exemplu, supercalculul, tehnologiile cuantice, tehnologiile blockchain, inteligenţa artificială, securitatea cibernetică, volumele mari de date și tehnologiile de tip cloud sau edge). Aceasta poate cuprinde, de exemplu, și activităţi care vizează definirea, </w:t>
      </w:r>
      <w:r w:rsidRPr="003A5591">
        <w:rPr>
          <w:rFonts w:ascii="Trebuchet MS" w:hAnsi="Trebuchet MS"/>
          <w:lang w:val="ro-RO"/>
        </w:rPr>
        <w:t>planificarea și documentarea conceptuală a unor noi produse, procese sau servicii;</w:t>
      </w:r>
    </w:p>
    <w:p w14:paraId="2B02A9A7" w14:textId="0A12DF5F" w:rsidR="002D1A27" w:rsidRPr="003A5591" w:rsidRDefault="009106E4">
      <w:pPr>
        <w:pStyle w:val="ListParagraph"/>
        <w:numPr>
          <w:ilvl w:val="0"/>
          <w:numId w:val="1"/>
        </w:numPr>
        <w:tabs>
          <w:tab w:val="left" w:pos="0"/>
          <w:tab w:val="left" w:pos="270"/>
        </w:tabs>
        <w:suppressAutoHyphens w:val="0"/>
        <w:spacing w:after="0" w:line="276" w:lineRule="auto"/>
        <w:jc w:val="both"/>
        <w:rPr>
          <w:rFonts w:ascii="Trebuchet MS" w:hAnsi="Trebuchet MS"/>
        </w:rPr>
      </w:pPr>
      <w:r w:rsidRPr="003A5591">
        <w:rPr>
          <w:rFonts w:ascii="Trebuchet MS" w:hAnsi="Trebuchet MS"/>
          <w:lang w:val="ro-RO"/>
        </w:rPr>
        <w:t xml:space="preserve">domenii de intervenție (workstream) - </w:t>
      </w:r>
      <w:r w:rsidR="003A2BFE" w:rsidRPr="003A5591">
        <w:rPr>
          <w:rFonts w:ascii="Trebuchet MS" w:hAnsi="Trebuchet MS"/>
          <w:lang w:val="ro-RO"/>
        </w:rPr>
        <w:t>grup de sarcini și activități care urmează să fie finalizate de grupuri de lucru</w:t>
      </w:r>
      <w:r w:rsidR="002D1A27" w:rsidRPr="003A5591">
        <w:rPr>
          <w:rFonts w:ascii="Trebuchet MS" w:hAnsi="Trebuchet MS"/>
          <w:lang w:val="ro-RO"/>
        </w:rPr>
        <w:t>,</w:t>
      </w:r>
      <w:r w:rsidR="003A2BFE" w:rsidRPr="003A5591">
        <w:rPr>
          <w:rFonts w:ascii="Trebuchet MS" w:hAnsi="Trebuchet MS"/>
          <w:lang w:val="ro-RO"/>
        </w:rPr>
        <w:t xml:space="preserve"> reunite pentru a atinge un obiectiv</w:t>
      </w:r>
      <w:r w:rsidR="002D1A27" w:rsidRPr="003A5591">
        <w:rPr>
          <w:rFonts w:ascii="Trebuchet MS" w:hAnsi="Trebuchet MS"/>
          <w:lang w:val="ro-RO"/>
        </w:rPr>
        <w:t xml:space="preserve"> tehnic</w:t>
      </w:r>
      <w:r w:rsidR="003A2BFE" w:rsidRPr="003A5591">
        <w:rPr>
          <w:rFonts w:ascii="Trebuchet MS" w:hAnsi="Trebuchet MS"/>
          <w:lang w:val="ro-RO"/>
        </w:rPr>
        <w:t xml:space="preserve"> comun</w:t>
      </w:r>
      <w:r w:rsidR="003A2BFE" w:rsidRPr="003A5591">
        <w:rPr>
          <w:rFonts w:ascii="Trebuchet MS" w:hAnsi="Trebuchet MS"/>
        </w:rPr>
        <w:t>;</w:t>
      </w:r>
      <w:r w:rsidR="002D1A27" w:rsidRPr="003A5591">
        <w:rPr>
          <w:rFonts w:ascii="Trebuchet MS" w:hAnsi="Trebuchet MS"/>
        </w:rPr>
        <w:t xml:space="preserve"> </w:t>
      </w:r>
    </w:p>
    <w:p w14:paraId="2E66D949" w14:textId="77777777" w:rsidR="00EF47C7" w:rsidRPr="003A5591" w:rsidRDefault="00EF47C7">
      <w:pPr>
        <w:numPr>
          <w:ilvl w:val="0"/>
          <w:numId w:val="1"/>
        </w:numPr>
        <w:suppressAutoHyphens w:val="0"/>
        <w:spacing w:before="0" w:after="0" w:line="276" w:lineRule="auto"/>
        <w:jc w:val="both"/>
        <w:rPr>
          <w:color w:val="000000"/>
          <w:sz w:val="22"/>
          <w:szCs w:val="22"/>
        </w:rPr>
      </w:pPr>
      <w:r w:rsidRPr="003A5591">
        <w:rPr>
          <w:color w:val="000000"/>
          <w:sz w:val="22"/>
          <w:szCs w:val="22"/>
        </w:rPr>
        <w:t xml:space="preserve">dublă finanţare - finanţarea acordată cu încălcarea prevederilor art. 9 din Regulamentul (UE) 2021/241 al Parlamentului European şi al Consiliului din 12 februarie 2021 şi art. 191 din Regulamentul financiar;  </w:t>
      </w:r>
    </w:p>
    <w:p w14:paraId="2CC615CB" w14:textId="77777777" w:rsidR="00731596" w:rsidRPr="003A5591" w:rsidRDefault="00731596">
      <w:pPr>
        <w:pStyle w:val="ListParagraph"/>
        <w:numPr>
          <w:ilvl w:val="0"/>
          <w:numId w:val="1"/>
        </w:numPr>
        <w:tabs>
          <w:tab w:val="left" w:pos="270"/>
          <w:tab w:val="left" w:pos="360"/>
        </w:tabs>
        <w:suppressAutoHyphens w:val="0"/>
        <w:spacing w:after="0" w:line="276" w:lineRule="auto"/>
        <w:jc w:val="both"/>
        <w:textAlignment w:val="auto"/>
        <w:rPr>
          <w:rFonts w:ascii="Trebuchet MS" w:hAnsi="Trebuchet MS"/>
          <w:lang w:val="ro-RO"/>
        </w:rPr>
      </w:pPr>
      <w:r w:rsidRPr="003A5591">
        <w:rPr>
          <w:rFonts w:ascii="Trebuchet MS" w:hAnsi="Trebuchet MS"/>
          <w:lang w:val="ro-RO"/>
        </w:rPr>
        <w:t>intensitatea ajutorului -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 actualizare aplicabilă la data acordării. Intensitatea ajutorului se calculează pentru fiecare beneficiar;</w:t>
      </w:r>
    </w:p>
    <w:p w14:paraId="1D675355" w14:textId="1B7CBE75" w:rsidR="00EA7DD8" w:rsidRPr="003A5591" w:rsidRDefault="007D2D08">
      <w:pPr>
        <w:pStyle w:val="ListParagraph"/>
        <w:numPr>
          <w:ilvl w:val="0"/>
          <w:numId w:val="1"/>
        </w:numPr>
        <w:tabs>
          <w:tab w:val="left" w:pos="270"/>
          <w:tab w:val="left" w:pos="360"/>
        </w:tabs>
        <w:suppressAutoHyphens w:val="0"/>
        <w:spacing w:before="240" w:after="240" w:line="276" w:lineRule="auto"/>
        <w:jc w:val="both"/>
        <w:textAlignment w:val="auto"/>
        <w:rPr>
          <w:rFonts w:ascii="Trebuchet MS" w:hAnsi="Trebuchet MS"/>
          <w:lang w:val="ro-RO"/>
        </w:rPr>
      </w:pPr>
      <w:r w:rsidRPr="003A5591">
        <w:rPr>
          <w:rFonts w:ascii="Trebuchet MS" w:hAnsi="Trebuchet MS"/>
          <w:lang w:val="ro-RO"/>
        </w:rPr>
        <w:t>întreprindere -</w:t>
      </w:r>
      <w:r w:rsidR="000339C1" w:rsidRPr="003A5591">
        <w:rPr>
          <w:rFonts w:ascii="Trebuchet MS" w:hAnsi="Trebuchet MS"/>
          <w:lang w:val="ro-RO"/>
        </w:rPr>
        <w:t xml:space="preserve"> </w:t>
      </w:r>
      <w:r w:rsidR="00BC2070" w:rsidRPr="003A5591">
        <w:rPr>
          <w:rFonts w:ascii="Trebuchet MS" w:hAnsi="Trebuchet MS"/>
          <w:lang w:val="ro-RO"/>
        </w:rPr>
        <w:t xml:space="preserve"> </w:t>
      </w:r>
      <w:r w:rsidR="008F0099" w:rsidRPr="003A5591">
        <w:rPr>
          <w:rFonts w:ascii="Trebuchet MS" w:hAnsi="Trebuchet MS"/>
          <w:lang w:val="ro-RO"/>
        </w:rPr>
        <w:t>orice entitate care desfășoară o activitate economică astfel cum este interpretat conceptul de către Curtea de Justiție a Uniunii Europene, indiferent de statutul juridic, de modul de finanțare sau de existența unui scop lucrativ.</w:t>
      </w:r>
    </w:p>
    <w:p w14:paraId="463ED820" w14:textId="1F1C57F7" w:rsidR="00731596" w:rsidRPr="003A5591" w:rsidRDefault="00731596">
      <w:pPr>
        <w:pStyle w:val="ListParagraph"/>
        <w:numPr>
          <w:ilvl w:val="0"/>
          <w:numId w:val="1"/>
        </w:numPr>
        <w:tabs>
          <w:tab w:val="left" w:pos="270"/>
          <w:tab w:val="left" w:pos="360"/>
        </w:tabs>
        <w:suppressAutoHyphens w:val="0"/>
        <w:spacing w:before="240" w:after="240" w:line="276" w:lineRule="auto"/>
        <w:jc w:val="both"/>
        <w:textAlignment w:val="auto"/>
        <w:rPr>
          <w:rFonts w:ascii="Trebuchet MS" w:hAnsi="Trebuchet MS"/>
          <w:lang w:val="ro-RO"/>
        </w:rPr>
      </w:pPr>
      <w:r w:rsidRPr="003A5591">
        <w:rPr>
          <w:rFonts w:ascii="Trebuchet MS" w:hAnsi="Trebuchet MS"/>
          <w:lang w:val="ro-RO"/>
        </w:rPr>
        <w:lastRenderedPageBreak/>
        <w:t>întreprindere în dificultate - în conformitate cu art. 2 pct. 18 din Regulamentul (UE) nr. 651/2014, o întreprindere este considerată în dificultate dacă se află în cel puțin una dintre următoarele situații:</w:t>
      </w:r>
    </w:p>
    <w:p w14:paraId="73F6131F" w14:textId="77777777" w:rsidR="00731596" w:rsidRPr="005402C9" w:rsidRDefault="00731596" w:rsidP="0013489D">
      <w:pPr>
        <w:pStyle w:val="ListParagraph"/>
        <w:spacing w:before="240" w:after="240" w:line="276" w:lineRule="auto"/>
        <w:ind w:left="1440"/>
        <w:jc w:val="both"/>
        <w:rPr>
          <w:rFonts w:ascii="Trebuchet MS" w:hAnsi="Trebuchet MS"/>
          <w:lang w:val="ro-RO"/>
        </w:rPr>
      </w:pPr>
      <w:r w:rsidRPr="003A5591">
        <w:rPr>
          <w:rFonts w:ascii="Trebuchet MS" w:hAnsi="Trebuchet MS"/>
          <w:lang w:val="ro-RO"/>
        </w:rPr>
        <w:t>(i) în cazul unei societăți comerciale cu răspundere limitată (alta decât un IMM care există de</w:t>
      </w:r>
      <w:r w:rsidRPr="005402C9">
        <w:rPr>
          <w:rFonts w:ascii="Trebuchet MS" w:hAnsi="Trebuchet MS"/>
          <w:lang w:val="ro-RO"/>
        </w:rPr>
        <w:t xml:space="preserv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prevederi, „societate cu răspundere limitată“ se referă în special la tipurile de societăți menționate în anexa I la Directiva 2013/34/UE, iar „capital social“ include, dacă este cazul, orice primă de capital;</w:t>
      </w:r>
    </w:p>
    <w:p w14:paraId="424881C0" w14:textId="77777777" w:rsidR="00731596" w:rsidRPr="005402C9" w:rsidRDefault="00731596" w:rsidP="0013489D">
      <w:pPr>
        <w:pStyle w:val="ListParagraph"/>
        <w:spacing w:before="240" w:after="240" w:line="276" w:lineRule="auto"/>
        <w:ind w:left="1440"/>
        <w:jc w:val="both"/>
        <w:rPr>
          <w:rFonts w:ascii="Trebuchet MS" w:hAnsi="Trebuchet MS"/>
          <w:lang w:val="ro-RO"/>
        </w:rPr>
      </w:pPr>
      <w:r w:rsidRPr="005402C9">
        <w:rPr>
          <w:rFonts w:ascii="Trebuchet MS" w:hAnsi="Trebuchet MS"/>
          <w:lang w:val="ro-RO"/>
        </w:rPr>
        <w:t>(ii) 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prevederi, „o societate comercială în care cel puțin unii dintre asociați au răspundere nelimitată pentru creanțele societății“ se referă în special la acele tipuri de societăți menționate în anexa II la Directiva 2013/34/UE;</w:t>
      </w:r>
    </w:p>
    <w:p w14:paraId="72A67565" w14:textId="77777777" w:rsidR="00731596" w:rsidRPr="005402C9" w:rsidRDefault="00731596" w:rsidP="0013489D">
      <w:pPr>
        <w:pStyle w:val="ListParagraph"/>
        <w:spacing w:before="240" w:after="240" w:line="276" w:lineRule="auto"/>
        <w:ind w:left="1440"/>
        <w:jc w:val="both"/>
        <w:rPr>
          <w:rFonts w:ascii="Trebuchet MS" w:hAnsi="Trebuchet MS"/>
          <w:lang w:val="ro-RO"/>
        </w:rPr>
      </w:pPr>
      <w:r w:rsidRPr="005402C9">
        <w:rPr>
          <w:rFonts w:ascii="Trebuchet MS" w:hAnsi="Trebuchet MS"/>
          <w:lang w:val="ro-RO"/>
        </w:rPr>
        <w:t>(iii) atunci când întreprinderea face obiectul unei proceduri colective de insolvență sau îndeplinește criteriile prevăzute în dreptul intern pentru ca o procedură colectivă de insolvență să fie deschisă la cererea creditorilor săi;</w:t>
      </w:r>
    </w:p>
    <w:p w14:paraId="76F28AF1" w14:textId="77777777" w:rsidR="00731596" w:rsidRPr="005402C9" w:rsidRDefault="00731596" w:rsidP="0013489D">
      <w:pPr>
        <w:pStyle w:val="ListParagraph"/>
        <w:spacing w:before="240" w:after="240" w:line="276" w:lineRule="auto"/>
        <w:ind w:left="1440"/>
        <w:jc w:val="both"/>
        <w:rPr>
          <w:rFonts w:ascii="Trebuchet MS" w:hAnsi="Trebuchet MS"/>
          <w:lang w:val="ro-RO"/>
        </w:rPr>
      </w:pPr>
      <w:r w:rsidRPr="005402C9">
        <w:rPr>
          <w:rFonts w:ascii="Trebuchet MS" w:hAnsi="Trebuchet MS"/>
          <w:lang w:val="ro-RO"/>
        </w:rPr>
        <w:t>(iv) atunci când întreprinderea a primit ajutor pentru salvare și nu a rambursat încă împrumutul sau nu a încetat garanția sau a primit ajutoare pentru restructurare și face încă obiectul unui plan de restructurare;</w:t>
      </w:r>
    </w:p>
    <w:p w14:paraId="51C92514" w14:textId="77777777" w:rsidR="00731596" w:rsidRPr="005402C9" w:rsidRDefault="00731596" w:rsidP="0013489D">
      <w:pPr>
        <w:pStyle w:val="ListParagraph"/>
        <w:spacing w:before="240" w:after="240" w:line="276" w:lineRule="auto"/>
        <w:ind w:left="1440"/>
        <w:jc w:val="both"/>
        <w:rPr>
          <w:rFonts w:ascii="Trebuchet MS" w:hAnsi="Trebuchet MS"/>
          <w:lang w:val="ro-RO"/>
        </w:rPr>
      </w:pPr>
      <w:r w:rsidRPr="005402C9">
        <w:rPr>
          <w:rFonts w:ascii="Trebuchet MS" w:hAnsi="Trebuchet MS"/>
          <w:lang w:val="ro-RO"/>
        </w:rPr>
        <w:t>(v) în cazul unei întreprinderi care nu este un IMM, atunci când, în ultimii doi ani:</w:t>
      </w:r>
    </w:p>
    <w:p w14:paraId="2CA04EE7" w14:textId="77777777" w:rsidR="00731596" w:rsidRPr="005402C9" w:rsidRDefault="00731596" w:rsidP="0013489D">
      <w:pPr>
        <w:pStyle w:val="ListParagraph"/>
        <w:spacing w:before="240" w:after="240" w:line="240" w:lineRule="auto"/>
        <w:ind w:left="1440"/>
        <w:jc w:val="both"/>
        <w:rPr>
          <w:rFonts w:ascii="Trebuchet MS" w:hAnsi="Trebuchet MS"/>
          <w:lang w:val="ro-RO"/>
        </w:rPr>
      </w:pPr>
      <w:r w:rsidRPr="005402C9">
        <w:rPr>
          <w:rFonts w:ascii="Trebuchet MS" w:hAnsi="Trebuchet MS"/>
          <w:lang w:val="ro-RO"/>
        </w:rPr>
        <w:t>1. raportul datorii/capitaluri proprii al întreprinderii este mai mare de 7,5; și</w:t>
      </w:r>
    </w:p>
    <w:p w14:paraId="1CFFB735" w14:textId="77777777" w:rsidR="00731596" w:rsidRPr="005402C9" w:rsidRDefault="00731596" w:rsidP="0013489D">
      <w:pPr>
        <w:pStyle w:val="ListParagraph"/>
        <w:tabs>
          <w:tab w:val="left" w:pos="270"/>
          <w:tab w:val="left" w:pos="360"/>
        </w:tabs>
        <w:spacing w:before="240" w:after="240" w:line="276" w:lineRule="auto"/>
        <w:ind w:left="1440"/>
        <w:jc w:val="both"/>
        <w:rPr>
          <w:rFonts w:ascii="Trebuchet MS" w:hAnsi="Trebuchet MS"/>
          <w:lang w:val="ro-RO"/>
        </w:rPr>
      </w:pPr>
      <w:r w:rsidRPr="005402C9">
        <w:rPr>
          <w:rFonts w:ascii="Trebuchet MS" w:hAnsi="Trebuchet MS"/>
          <w:lang w:val="ro-RO"/>
        </w:rPr>
        <w:t>2. capacitatea de acoperire a dobânzilor calculată pe baza EBITDA se situează sub valoarea 1,0.</w:t>
      </w:r>
    </w:p>
    <w:p w14:paraId="19242414" w14:textId="77777777" w:rsidR="00731596" w:rsidRPr="005402C9" w:rsidRDefault="00731596">
      <w:pPr>
        <w:pStyle w:val="ListParagraph"/>
        <w:numPr>
          <w:ilvl w:val="0"/>
          <w:numId w:val="1"/>
        </w:numPr>
        <w:tabs>
          <w:tab w:val="left" w:pos="270"/>
          <w:tab w:val="left" w:pos="360"/>
        </w:tabs>
        <w:suppressAutoHyphens w:val="0"/>
        <w:spacing w:before="240" w:after="240" w:line="276" w:lineRule="auto"/>
        <w:jc w:val="both"/>
        <w:textAlignment w:val="auto"/>
        <w:rPr>
          <w:rFonts w:ascii="Trebuchet MS" w:hAnsi="Trebuchet MS"/>
          <w:lang w:val="ro-RO"/>
        </w:rPr>
      </w:pPr>
      <w:r w:rsidRPr="005402C9">
        <w:rPr>
          <w:rFonts w:ascii="Trebuchet MS" w:hAnsi="Trebuchet MS"/>
          <w:lang w:val="ro-RO"/>
        </w:rPr>
        <w:t xml:space="preserve">organizație de cercetare și diseminare a cunoștințelor - entitate (cum ar fi universităţile sau institutele de cercetare, agenţiile de transfer de tehnologie, intermediarii pentru inovare, entităţile de colaborare fizice sau virtuale orientate spre cercetare), indiferent de statutul său juridic (organizaţie de drept public sau privat)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cunoștinţe. În cazul în care entitatea desfășoară și activităţi economice, finanţarea, costurile și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 </w:t>
      </w:r>
    </w:p>
    <w:p w14:paraId="1A88D31B" w14:textId="77777777" w:rsidR="00731596" w:rsidRPr="005402C9" w:rsidRDefault="00731596">
      <w:pPr>
        <w:pStyle w:val="ListParagraph"/>
        <w:numPr>
          <w:ilvl w:val="0"/>
          <w:numId w:val="1"/>
        </w:numPr>
        <w:tabs>
          <w:tab w:val="left" w:pos="270"/>
          <w:tab w:val="left" w:pos="360"/>
        </w:tabs>
        <w:suppressAutoHyphens w:val="0"/>
        <w:spacing w:after="0" w:line="276" w:lineRule="auto"/>
        <w:jc w:val="both"/>
        <w:textAlignment w:val="auto"/>
        <w:rPr>
          <w:rFonts w:ascii="Trebuchet MS" w:hAnsi="Trebuchet MS"/>
          <w:lang w:val="ro-RO"/>
        </w:rPr>
      </w:pPr>
      <w:r w:rsidRPr="005402C9">
        <w:rPr>
          <w:rFonts w:ascii="Trebuchet MS" w:hAnsi="Trebuchet MS"/>
          <w:lang w:val="ro-RO"/>
        </w:rPr>
        <w:t>participant direct - oricare dintre întreprinderile Robert Bosch SRL, NXP Semiconductors Romania SRL, Continental Automotive Romania SRL, selectate conform Deciziei C(2023) 3817 din data de 8.06.2023 să participe la proiectul important de interes european comun în domeniul microelectronicii și al tehnologiilor comunicațiilor și sprijinite prin Investiția 4, Componenta 9 din PNRR;</w:t>
      </w:r>
      <w:r w:rsidRPr="005402C9" w:rsidDel="00FC4047">
        <w:rPr>
          <w:rFonts w:ascii="Trebuchet MS" w:hAnsi="Trebuchet MS"/>
          <w:lang w:val="ro-RO"/>
        </w:rPr>
        <w:t xml:space="preserve"> </w:t>
      </w:r>
    </w:p>
    <w:p w14:paraId="1694996D" w14:textId="2D2532C7" w:rsidR="00EF47C7" w:rsidRPr="005402C9" w:rsidRDefault="00EF47C7">
      <w:pPr>
        <w:numPr>
          <w:ilvl w:val="0"/>
          <w:numId w:val="1"/>
        </w:numPr>
        <w:suppressAutoHyphens w:val="0"/>
        <w:spacing w:before="0" w:after="0" w:line="276" w:lineRule="auto"/>
        <w:jc w:val="both"/>
        <w:rPr>
          <w:sz w:val="22"/>
          <w:szCs w:val="22"/>
        </w:rPr>
      </w:pPr>
      <w:r w:rsidRPr="005402C9">
        <w:rPr>
          <w:sz w:val="22"/>
          <w:szCs w:val="22"/>
        </w:rPr>
        <w:t>participant indirect - entitate aflată în cel puțin unul dintre domeniile de activitate întâlnite de-a lungul lanțului valoric al microelectronicii, respectiv cercetare, producție/furnizare de materii prime, procesare, reciclare, care poate fi o întreprindere sau o organizație de cercetare,</w:t>
      </w:r>
      <w:r w:rsidR="00D10502" w:rsidRPr="005402C9">
        <w:t xml:space="preserve"> </w:t>
      </w:r>
      <w:r w:rsidR="00D10502" w:rsidRPr="005402C9">
        <w:rPr>
          <w:sz w:val="22"/>
          <w:szCs w:val="22"/>
        </w:rPr>
        <w:t xml:space="preserve">indiferent de statutul juridic, de drept public sau privat, </w:t>
      </w:r>
      <w:r w:rsidR="00D10502" w:rsidRPr="005402C9">
        <w:rPr>
          <w:sz w:val="22"/>
          <w:szCs w:val="22"/>
        </w:rPr>
        <w:lastRenderedPageBreak/>
        <w:t>sau de modalitatea de finanțare,</w:t>
      </w:r>
      <w:r w:rsidRPr="005402C9">
        <w:rPr>
          <w:sz w:val="22"/>
          <w:szCs w:val="22"/>
        </w:rPr>
        <w:t xml:space="preserve"> care a încheiat un acord de colaborare efectivă cu unul dintre participanții direcți și care primește asistență financiară nerambursabilă prin încheierea unui contract tripartit de finanțare cu furnizorul de ajutor de stat și cu administratorul   schemei de ajutor de stat; </w:t>
      </w:r>
    </w:p>
    <w:p w14:paraId="5DCEB6A6" w14:textId="77777777" w:rsidR="00EF47C7" w:rsidRPr="005402C9" w:rsidRDefault="00EF47C7">
      <w:pPr>
        <w:numPr>
          <w:ilvl w:val="0"/>
          <w:numId w:val="1"/>
        </w:numPr>
        <w:suppressAutoHyphens w:val="0"/>
        <w:spacing w:before="0" w:after="0" w:line="276" w:lineRule="auto"/>
        <w:jc w:val="both"/>
        <w:rPr>
          <w:sz w:val="22"/>
          <w:szCs w:val="22"/>
        </w:rPr>
      </w:pPr>
      <w:r w:rsidRPr="005402C9">
        <w:rPr>
          <w:sz w:val="22"/>
          <w:szCs w:val="22"/>
        </w:rPr>
        <w:t>perioada de implementare a subproiectului – perioada în care vor fi operaționalizate activitățile prevăzute în Cererea de finantare, de-a lungul unei durate de timp determinate,corelate cu perioada de implementare a proiectului, fără depăși data de  31.12.2028;</w:t>
      </w:r>
    </w:p>
    <w:p w14:paraId="025E01A6" w14:textId="44296A5E" w:rsidR="00EF47C7" w:rsidRPr="005402C9" w:rsidRDefault="00EF47C7">
      <w:pPr>
        <w:numPr>
          <w:ilvl w:val="0"/>
          <w:numId w:val="1"/>
        </w:numPr>
        <w:tabs>
          <w:tab w:val="left" w:pos="270"/>
          <w:tab w:val="left" w:pos="360"/>
        </w:tabs>
        <w:suppressAutoHyphens w:val="0"/>
        <w:spacing w:before="0" w:after="0" w:line="276" w:lineRule="auto"/>
        <w:jc w:val="both"/>
      </w:pPr>
      <w:r w:rsidRPr="005402C9">
        <w:rPr>
          <w:sz w:val="22"/>
          <w:szCs w:val="22"/>
        </w:rPr>
        <w:t xml:space="preserve">perioada de </w:t>
      </w:r>
      <w:r w:rsidR="00D83E06" w:rsidRPr="005402C9">
        <w:rPr>
          <w:sz w:val="22"/>
          <w:szCs w:val="22"/>
        </w:rPr>
        <w:t>sustenabilitate</w:t>
      </w:r>
      <w:r w:rsidRPr="005402C9">
        <w:rPr>
          <w:sz w:val="22"/>
          <w:szCs w:val="22"/>
        </w:rPr>
        <w:t xml:space="preserve"> - perioada de timp, ulterioară perioadei de implementare a </w:t>
      </w:r>
      <w:r w:rsidR="009D3F4E">
        <w:rPr>
          <w:sz w:val="22"/>
          <w:szCs w:val="22"/>
        </w:rPr>
        <w:t>sub</w:t>
      </w:r>
      <w:r w:rsidRPr="005402C9">
        <w:rPr>
          <w:sz w:val="22"/>
          <w:szCs w:val="22"/>
        </w:rPr>
        <w:t>proiectului, în care investițiile realizate prin proiect își vor produce efectele și rezultatele scontate;</w:t>
      </w:r>
    </w:p>
    <w:p w14:paraId="0E17835C" w14:textId="378848CF" w:rsidR="00731596" w:rsidRPr="005402C9" w:rsidRDefault="00731596">
      <w:pPr>
        <w:numPr>
          <w:ilvl w:val="0"/>
          <w:numId w:val="1"/>
        </w:numPr>
        <w:tabs>
          <w:tab w:val="left" w:pos="270"/>
          <w:tab w:val="left" w:pos="360"/>
        </w:tabs>
        <w:suppressAutoHyphens w:val="0"/>
        <w:spacing w:before="0" w:after="0" w:line="276" w:lineRule="auto"/>
        <w:jc w:val="both"/>
        <w:rPr>
          <w:sz w:val="22"/>
          <w:szCs w:val="22"/>
        </w:rPr>
      </w:pPr>
      <w:r w:rsidRPr="005402C9">
        <w:rPr>
          <w:sz w:val="22"/>
          <w:szCs w:val="22"/>
        </w:rPr>
        <w:t>proiect – aparține unuia dintre participanții direcți, selectați de Comisia Europeană prin Decizia C(2023) 3817 din 08.06.2023 cu privire la aprobarea ajutoarelor de stat individuale pentru proiectul important de interes european comun în domeniul microelectronicii și al tehnologiilor comunicațiilor;</w:t>
      </w:r>
    </w:p>
    <w:p w14:paraId="37171E04" w14:textId="0B90DFD5" w:rsidR="00731596" w:rsidRPr="005402C9" w:rsidRDefault="00731596">
      <w:pPr>
        <w:numPr>
          <w:ilvl w:val="0"/>
          <w:numId w:val="1"/>
        </w:numPr>
        <w:tabs>
          <w:tab w:val="left" w:pos="270"/>
          <w:tab w:val="left" w:pos="360"/>
        </w:tabs>
        <w:suppressAutoHyphens w:val="0"/>
        <w:spacing w:before="0" w:after="0" w:line="276" w:lineRule="auto"/>
        <w:jc w:val="both"/>
      </w:pPr>
      <w:r w:rsidRPr="005402C9">
        <w:rPr>
          <w:sz w:val="22"/>
          <w:szCs w:val="22"/>
        </w:rPr>
        <w:t>studiu de fezabilitate - evaluarea și analiza potenţialului unui proiect care urmărește să vină în sprijinul procesului decizional evidenţiind în mod obiectiv și raţional punctele forte și punctele slabe ale acestuia, oportunităţile și ameninţările</w:t>
      </w:r>
      <w:r w:rsidR="00696E03" w:rsidRPr="005402C9">
        <w:rPr>
          <w:sz w:val="22"/>
          <w:szCs w:val="22"/>
        </w:rPr>
        <w:t>,</w:t>
      </w:r>
      <w:r w:rsidRPr="005402C9">
        <w:rPr>
          <w:sz w:val="22"/>
          <w:szCs w:val="22"/>
        </w:rPr>
        <w:t xml:space="preserve"> identificând resursele necesare pentru punerea în practică și, în ultimă instanţă, perspectivele de succes ale acestuia;</w:t>
      </w:r>
    </w:p>
    <w:p w14:paraId="0CE73EC5" w14:textId="170ED3C1" w:rsidR="00731596" w:rsidRPr="005402C9" w:rsidRDefault="00731596">
      <w:pPr>
        <w:numPr>
          <w:ilvl w:val="0"/>
          <w:numId w:val="1"/>
        </w:numPr>
        <w:tabs>
          <w:tab w:val="left" w:pos="270"/>
          <w:tab w:val="left" w:pos="360"/>
        </w:tabs>
        <w:suppressAutoHyphens w:val="0"/>
        <w:spacing w:before="0" w:after="0" w:line="276" w:lineRule="auto"/>
        <w:jc w:val="both"/>
        <w:rPr>
          <w:sz w:val="22"/>
          <w:szCs w:val="22"/>
        </w:rPr>
      </w:pPr>
      <w:r w:rsidRPr="005402C9">
        <w:rPr>
          <w:sz w:val="22"/>
          <w:szCs w:val="22"/>
        </w:rPr>
        <w:t>subproiect - setul de activități dezvoltate de un participant indirect în cadrul colaborării efective cu unul dintre participanții direcți</w:t>
      </w:r>
      <w:r w:rsidR="00D47AED" w:rsidRPr="005402C9">
        <w:rPr>
          <w:sz w:val="22"/>
          <w:szCs w:val="22"/>
        </w:rPr>
        <w:t>, detaliate în cuprindul unui acord de colaborare</w:t>
      </w:r>
      <w:r w:rsidRPr="005402C9">
        <w:rPr>
          <w:sz w:val="22"/>
          <w:szCs w:val="22"/>
        </w:rPr>
        <w:t>;</w:t>
      </w:r>
    </w:p>
    <w:p w14:paraId="5FF438BB" w14:textId="77777777" w:rsidR="006403FC" w:rsidRPr="005402C9" w:rsidRDefault="006403FC">
      <w:pPr>
        <w:numPr>
          <w:ilvl w:val="0"/>
          <w:numId w:val="1"/>
        </w:numPr>
        <w:tabs>
          <w:tab w:val="left" w:pos="270"/>
          <w:tab w:val="left" w:pos="360"/>
        </w:tabs>
        <w:suppressAutoHyphens w:val="0"/>
        <w:spacing w:before="0" w:after="0" w:line="276" w:lineRule="auto"/>
        <w:jc w:val="both"/>
        <w:rPr>
          <w:sz w:val="22"/>
          <w:szCs w:val="22"/>
        </w:rPr>
      </w:pPr>
      <w:r w:rsidRPr="005402C9">
        <w:rPr>
          <w:sz w:val="22"/>
          <w:szCs w:val="22"/>
        </w:rPr>
        <w:t>prima utilizare industrială – PUI, reprezintă extinderea la o scară mai largă a instalațiilor-pilot, a instalațiilor demonstrative sau a echipamentelor și instalațiilor care reprezintă o premieră în domeniul respectiv și care corespund etapelor ulterioare fazei-pilot, incluzând faza de testare și adaptarea la producția de serie, dar nu producția de masă sau activitățile comerciale; proiectele care presupun o primă utilizare industrială trebuie să permită elaborarea unui nou produs sau a unui nou serviciu cu un conținut de cercetare și inovare ridicat sau punerea în practică a unui proces de producție care este inovator într-un mod fundamental. Modernizările periodice ale instalațiilor existente care nu prezintă o dimensiune inovatoare, precum și dezvoltarea de versiuni noi ale unor produse existente nu presupun o primă utilizare industrială;</w:t>
      </w:r>
    </w:p>
    <w:p w14:paraId="56E757F2" w14:textId="110E87E3" w:rsidR="006403FC" w:rsidRPr="005402C9" w:rsidRDefault="006403FC">
      <w:pPr>
        <w:numPr>
          <w:ilvl w:val="0"/>
          <w:numId w:val="1"/>
        </w:numPr>
        <w:suppressAutoHyphens w:val="0"/>
        <w:spacing w:before="0" w:after="0" w:line="276" w:lineRule="auto"/>
        <w:jc w:val="both"/>
        <w:rPr>
          <w:sz w:val="22"/>
          <w:szCs w:val="22"/>
        </w:rPr>
      </w:pPr>
      <w:r w:rsidRPr="005402C9">
        <w:rPr>
          <w:sz w:val="22"/>
          <w:szCs w:val="22"/>
        </w:rPr>
        <w:t xml:space="preserve">proiecte.pnrr.gov.ro - aplicația pentru depunerea proiectelor de investiții finanțate în cadrul Planului Național de Redresare și Reziliență. Platforma poate fi accesată la următorul link: </w:t>
      </w:r>
      <w:r>
        <w:fldChar w:fldCharType="begin"/>
      </w:r>
      <w:r>
        <w:instrText>HYPERLINK "https://proiecte.pnrr.gov.ro"</w:instrText>
      </w:r>
      <w:r>
        <w:fldChar w:fldCharType="separate"/>
      </w:r>
      <w:r w:rsidRPr="005402C9">
        <w:rPr>
          <w:rStyle w:val="Hyperlink"/>
          <w:sz w:val="22"/>
          <w:szCs w:val="22"/>
        </w:rPr>
        <w:t>https://proiecte.pnrr.gov.ro</w:t>
      </w:r>
      <w:r>
        <w:rPr>
          <w:rStyle w:val="Hyperlink"/>
          <w:sz w:val="22"/>
          <w:szCs w:val="22"/>
        </w:rPr>
        <w:fldChar w:fldCharType="end"/>
      </w:r>
      <w:r w:rsidR="00696E03" w:rsidRPr="005402C9">
        <w:rPr>
          <w:sz w:val="22"/>
          <w:szCs w:val="22"/>
        </w:rPr>
        <w:t>;</w:t>
      </w:r>
    </w:p>
    <w:p w14:paraId="3B4D3275" w14:textId="647A9104" w:rsidR="006403FC" w:rsidRPr="005402C9" w:rsidRDefault="006403FC">
      <w:pPr>
        <w:numPr>
          <w:ilvl w:val="0"/>
          <w:numId w:val="1"/>
        </w:numPr>
        <w:suppressAutoHyphens w:val="0"/>
        <w:spacing w:before="0" w:after="0" w:line="276" w:lineRule="auto"/>
        <w:jc w:val="both"/>
        <w:rPr>
          <w:sz w:val="22"/>
          <w:szCs w:val="22"/>
        </w:rPr>
      </w:pPr>
      <w:r w:rsidRPr="005402C9">
        <w:rPr>
          <w:sz w:val="22"/>
          <w:szCs w:val="22"/>
        </w:rPr>
        <w:t>studiu de fezabilitate - evaluarea și analiza potenţialului unui proiect care urmărește să vină în sprijinul procesului decizional evidenţiind în mod obiectiv și raţional punctele forte și punctele slabe ale acestuia, oportunităţile și ameninţările, și identificând resursele necesare pentru punerea în practică și, în ultimă instanţă, perspectivele de succes ale acestuia</w:t>
      </w:r>
      <w:r w:rsidR="00696E03" w:rsidRPr="005402C9">
        <w:rPr>
          <w:sz w:val="22"/>
          <w:szCs w:val="22"/>
        </w:rPr>
        <w:t>.</w:t>
      </w:r>
    </w:p>
    <w:p w14:paraId="0415D98E" w14:textId="77777777" w:rsidR="006403FC" w:rsidRPr="005402C9" w:rsidRDefault="006403FC" w:rsidP="0013489D">
      <w:pPr>
        <w:spacing w:before="0" w:after="0" w:line="276" w:lineRule="auto"/>
        <w:ind w:left="720"/>
        <w:jc w:val="both"/>
        <w:rPr>
          <w:sz w:val="22"/>
          <w:szCs w:val="22"/>
        </w:rPr>
      </w:pPr>
    </w:p>
    <w:p w14:paraId="4AC94D08" w14:textId="7E5B95B2" w:rsidR="00376946" w:rsidRPr="005402C9" w:rsidRDefault="00EF47C7" w:rsidP="0013489D">
      <w:pPr>
        <w:pStyle w:val="Heading3"/>
        <w:rPr>
          <w:b w:val="0"/>
          <w:bCs/>
          <w:sz w:val="22"/>
          <w:szCs w:val="22"/>
        </w:rPr>
      </w:pPr>
      <w:bookmarkStart w:id="14" w:name="_Toc150159450"/>
      <w:r w:rsidRPr="00C5466E">
        <w:rPr>
          <w:bCs/>
          <w:sz w:val="22"/>
          <w:szCs w:val="22"/>
        </w:rPr>
        <w:t>1.2.3</w:t>
      </w:r>
      <w:r w:rsidRPr="005402C9">
        <w:rPr>
          <w:b w:val="0"/>
          <w:bCs/>
          <w:sz w:val="22"/>
          <w:szCs w:val="22"/>
        </w:rPr>
        <w:t xml:space="preserve"> </w:t>
      </w:r>
      <w:r w:rsidR="00376946" w:rsidRPr="005402C9">
        <w:rPr>
          <w:bCs/>
          <w:sz w:val="22"/>
          <w:szCs w:val="22"/>
        </w:rPr>
        <w:t>Activități eligibile</w:t>
      </w:r>
      <w:bookmarkEnd w:id="14"/>
    </w:p>
    <w:p w14:paraId="2B72EB78" w14:textId="3DC63023" w:rsidR="00A9566D" w:rsidRPr="005402C9" w:rsidRDefault="00723035" w:rsidP="00A9566D">
      <w:pPr>
        <w:shd w:val="clear" w:color="auto" w:fill="FFFFFF" w:themeFill="background1"/>
        <w:spacing w:line="276" w:lineRule="auto"/>
        <w:jc w:val="both"/>
        <w:rPr>
          <w:sz w:val="22"/>
          <w:szCs w:val="22"/>
        </w:rPr>
      </w:pPr>
      <w:r w:rsidRPr="005402C9">
        <w:rPr>
          <w:sz w:val="22"/>
          <w:szCs w:val="22"/>
        </w:rPr>
        <w:t xml:space="preserve">Activitățile </w:t>
      </w:r>
      <w:r w:rsidR="00A9566D" w:rsidRPr="005402C9">
        <w:rPr>
          <w:sz w:val="22"/>
          <w:szCs w:val="22"/>
        </w:rPr>
        <w:t>sprijinite</w:t>
      </w:r>
      <w:r w:rsidRPr="005402C9">
        <w:rPr>
          <w:sz w:val="22"/>
          <w:szCs w:val="22"/>
        </w:rPr>
        <w:t xml:space="preserve"> </w:t>
      </w:r>
      <w:r w:rsidR="007525C8" w:rsidRPr="005402C9">
        <w:rPr>
          <w:sz w:val="22"/>
          <w:szCs w:val="22"/>
        </w:rPr>
        <w:t>sunt înscrise într-un cadru de colaborare efectivă cu un participant direct la PIIEC în domeniul microelectronicii și tehnologiei comunicațiilor</w:t>
      </w:r>
      <w:r w:rsidR="00A9566D" w:rsidRPr="005402C9">
        <w:rPr>
          <w:sz w:val="22"/>
          <w:szCs w:val="22"/>
        </w:rPr>
        <w:t xml:space="preserve">, </w:t>
      </w:r>
      <w:r w:rsidR="00D26E17" w:rsidRPr="005402C9">
        <w:rPr>
          <w:sz w:val="22"/>
          <w:szCs w:val="22"/>
        </w:rPr>
        <w:t>contribuind la structurarea și dezvoltarea competențelor de concepție a componentelor și sistemelor microelectronice într-un ecosistem național coerent și c</w:t>
      </w:r>
      <w:r w:rsidR="00A9566D" w:rsidRPr="005402C9">
        <w:rPr>
          <w:sz w:val="22"/>
          <w:szCs w:val="22"/>
        </w:rPr>
        <w:t>oordonarea cu capabilitățile și nevoile de la nivel european.</w:t>
      </w:r>
    </w:p>
    <w:p w14:paraId="11755B13" w14:textId="40A81DFA" w:rsidR="003A01C5" w:rsidRPr="005402C9" w:rsidRDefault="003A01C5" w:rsidP="003A01C5">
      <w:pPr>
        <w:shd w:val="clear" w:color="auto" w:fill="FFFFFF" w:themeFill="background1"/>
        <w:spacing w:line="276" w:lineRule="auto"/>
        <w:jc w:val="both"/>
        <w:rPr>
          <w:sz w:val="22"/>
          <w:szCs w:val="22"/>
        </w:rPr>
      </w:pPr>
      <w:r w:rsidRPr="005402C9">
        <w:rPr>
          <w:sz w:val="22"/>
          <w:szCs w:val="22"/>
        </w:rPr>
        <w:lastRenderedPageBreak/>
        <w:t xml:space="preserve">Activitățile eligibile </w:t>
      </w:r>
      <w:r w:rsidR="002634F9" w:rsidRPr="005402C9">
        <w:rPr>
          <w:sz w:val="22"/>
          <w:szCs w:val="22"/>
        </w:rPr>
        <w:t xml:space="preserve">în cadrul subproiectului </w:t>
      </w:r>
      <w:r w:rsidRPr="005402C9">
        <w:rPr>
          <w:sz w:val="22"/>
          <w:szCs w:val="22"/>
        </w:rPr>
        <w:t>se înscriu în domeniul cercetării și dezvoltării, au un caracter inovator major sau generează valoare adăugată semnificativă în materie de cercetare, dezvoltare și inovare și se regăsesc în una sau mai multe activități economice asociate codurilor CAEN: 261, 263, 2651, 271, 272, 273 și 279, 620, 7112, 7120, 721.</w:t>
      </w:r>
    </w:p>
    <w:p w14:paraId="1157FACD" w14:textId="60C78894" w:rsidR="00376946" w:rsidRPr="005402C9" w:rsidRDefault="00723035" w:rsidP="00376946">
      <w:pPr>
        <w:shd w:val="clear" w:color="auto" w:fill="FFFFFF" w:themeFill="background1"/>
        <w:spacing w:line="276" w:lineRule="auto"/>
        <w:jc w:val="both"/>
        <w:rPr>
          <w:sz w:val="22"/>
          <w:szCs w:val="22"/>
        </w:rPr>
      </w:pPr>
      <w:r w:rsidRPr="005402C9">
        <w:rPr>
          <w:sz w:val="22"/>
          <w:szCs w:val="22"/>
        </w:rPr>
        <w:t>R</w:t>
      </w:r>
      <w:r w:rsidR="00376946" w:rsidRPr="005402C9">
        <w:rPr>
          <w:sz w:val="22"/>
          <w:szCs w:val="22"/>
        </w:rPr>
        <w:t>ezultatele</w:t>
      </w:r>
      <w:r w:rsidR="00A9566D" w:rsidRPr="005402C9">
        <w:rPr>
          <w:sz w:val="22"/>
          <w:szCs w:val="22"/>
        </w:rPr>
        <w:t xml:space="preserve"> </w:t>
      </w:r>
      <w:r w:rsidR="00376946" w:rsidRPr="005402C9">
        <w:rPr>
          <w:sz w:val="22"/>
          <w:szCs w:val="22"/>
        </w:rPr>
        <w:t xml:space="preserve">activităților </w:t>
      </w:r>
      <w:r w:rsidR="002634F9" w:rsidRPr="005402C9">
        <w:rPr>
          <w:sz w:val="22"/>
          <w:szCs w:val="22"/>
        </w:rPr>
        <w:t>subproiectului</w:t>
      </w:r>
      <w:r w:rsidR="00376946" w:rsidRPr="005402C9">
        <w:rPr>
          <w:sz w:val="22"/>
          <w:szCs w:val="22"/>
        </w:rPr>
        <w:t xml:space="preserve"> vor fi validate de participantul direct</w:t>
      </w:r>
      <w:r w:rsidR="00E2570E">
        <w:rPr>
          <w:sz w:val="22"/>
          <w:szCs w:val="22"/>
        </w:rPr>
        <w:t xml:space="preserve"> în cererea de transfer și rapoartele de progres,</w:t>
      </w:r>
      <w:r w:rsidR="00376946" w:rsidRPr="005402C9">
        <w:rPr>
          <w:sz w:val="22"/>
          <w:szCs w:val="22"/>
        </w:rPr>
        <w:t xml:space="preserve"> în baza acordului de colaborare efectivă încheiat cu participantul indirect.</w:t>
      </w:r>
    </w:p>
    <w:p w14:paraId="283F0F0C" w14:textId="1894BC99" w:rsidR="00376946" w:rsidRPr="005402C9" w:rsidRDefault="00DE21CA" w:rsidP="00DE21CA">
      <w:pPr>
        <w:shd w:val="clear" w:color="auto" w:fill="FFFFFF" w:themeFill="background1"/>
        <w:spacing w:line="276" w:lineRule="auto"/>
        <w:jc w:val="both"/>
        <w:rPr>
          <w:sz w:val="22"/>
          <w:szCs w:val="22"/>
        </w:rPr>
      </w:pPr>
      <w:r w:rsidRPr="005402C9">
        <w:rPr>
          <w:sz w:val="22"/>
          <w:szCs w:val="22"/>
        </w:rPr>
        <w:t>Activitățile de informare și publicitate, confrm prevederilor Manualului de identitate vizuală privind operațiunile finanțate din Mecanismul de Rederesare și Reziliență, definite în conformitate cu prevederile art. 34 din Regulamentul (UE) 2021/241, cu modificările și completările ulterioare, sunt obligatorii dar nu constituie activități eligibile în cadrul prezentului apel.</w:t>
      </w:r>
    </w:p>
    <w:p w14:paraId="27D56BAC" w14:textId="77777777" w:rsidR="00597B9F" w:rsidRPr="005402C9" w:rsidRDefault="00597B9F" w:rsidP="00526656">
      <w:pPr>
        <w:spacing w:after="0" w:line="276" w:lineRule="auto"/>
        <w:ind w:left="360"/>
        <w:jc w:val="both"/>
        <w:rPr>
          <w:b/>
          <w:bCs/>
          <w:sz w:val="22"/>
          <w:szCs w:val="22"/>
        </w:rPr>
      </w:pPr>
    </w:p>
    <w:p w14:paraId="3877BD15" w14:textId="665D6415" w:rsidR="00526656" w:rsidRPr="005402C9" w:rsidRDefault="00526656" w:rsidP="0013489D">
      <w:pPr>
        <w:pStyle w:val="Heading3"/>
        <w:rPr>
          <w:b w:val="0"/>
          <w:bCs/>
          <w:sz w:val="22"/>
          <w:szCs w:val="22"/>
        </w:rPr>
      </w:pPr>
      <w:bookmarkStart w:id="15" w:name="_Toc150159451"/>
      <w:r w:rsidRPr="005402C9">
        <w:rPr>
          <w:bCs/>
          <w:sz w:val="22"/>
          <w:szCs w:val="22"/>
        </w:rPr>
        <w:t>1.2.4 Solicitanți eligibili</w:t>
      </w:r>
      <w:bookmarkEnd w:id="15"/>
    </w:p>
    <w:p w14:paraId="2767D078" w14:textId="3DE19C01" w:rsidR="00527B37" w:rsidRPr="005402C9" w:rsidRDefault="00527B37" w:rsidP="00527B37">
      <w:pPr>
        <w:spacing w:line="276" w:lineRule="auto"/>
        <w:jc w:val="both"/>
        <w:rPr>
          <w:sz w:val="22"/>
          <w:szCs w:val="22"/>
        </w:rPr>
      </w:pPr>
      <w:r w:rsidRPr="005402C9">
        <w:rPr>
          <w:sz w:val="22"/>
          <w:szCs w:val="22"/>
        </w:rPr>
        <w:t xml:space="preserve">Prevederile prezentului ghid se aplică </w:t>
      </w:r>
      <w:r w:rsidR="00A42030" w:rsidRPr="005402C9">
        <w:rPr>
          <w:sz w:val="22"/>
          <w:szCs w:val="22"/>
        </w:rPr>
        <w:t xml:space="preserve">participanților indirecți </w:t>
      </w:r>
      <w:r w:rsidR="00D10502" w:rsidRPr="005402C9">
        <w:rPr>
          <w:sz w:val="22"/>
          <w:szCs w:val="22"/>
        </w:rPr>
        <w:t xml:space="preserve">definiți la secțiunea 1.2.2, lit.p) și </w:t>
      </w:r>
      <w:r w:rsidRPr="005402C9">
        <w:rPr>
          <w:sz w:val="22"/>
          <w:szCs w:val="22"/>
        </w:rPr>
        <w:t xml:space="preserve">care au sediul social în România la data acordării </w:t>
      </w:r>
      <w:r w:rsidR="00D10502" w:rsidRPr="005402C9">
        <w:rPr>
          <w:sz w:val="22"/>
          <w:szCs w:val="22"/>
        </w:rPr>
        <w:t>ajutorului de stat</w:t>
      </w:r>
      <w:r w:rsidRPr="005402C9">
        <w:rPr>
          <w:sz w:val="22"/>
          <w:szCs w:val="22"/>
        </w:rPr>
        <w:t xml:space="preserve">. </w:t>
      </w:r>
    </w:p>
    <w:p w14:paraId="54B56668" w14:textId="0C22C631" w:rsidR="00527B37" w:rsidRPr="005402C9" w:rsidRDefault="002A4CEE" w:rsidP="00527B37">
      <w:pPr>
        <w:spacing w:before="0" w:after="60" w:line="276" w:lineRule="auto"/>
        <w:jc w:val="both"/>
        <w:rPr>
          <w:sz w:val="22"/>
          <w:szCs w:val="22"/>
        </w:rPr>
      </w:pPr>
      <w:r w:rsidRPr="005402C9">
        <w:rPr>
          <w:sz w:val="22"/>
          <w:szCs w:val="22"/>
        </w:rPr>
        <w:t>Un s</w:t>
      </w:r>
      <w:r w:rsidR="00527B37" w:rsidRPr="005402C9">
        <w:rPr>
          <w:sz w:val="22"/>
          <w:szCs w:val="22"/>
        </w:rPr>
        <w:t>olicitan</w:t>
      </w:r>
      <w:r w:rsidR="00696E03" w:rsidRPr="005402C9">
        <w:rPr>
          <w:sz w:val="22"/>
          <w:szCs w:val="22"/>
        </w:rPr>
        <w:t>t</w:t>
      </w:r>
      <w:r w:rsidR="00527B37" w:rsidRPr="005402C9">
        <w:rPr>
          <w:sz w:val="22"/>
          <w:szCs w:val="22"/>
        </w:rPr>
        <w:t xml:space="preserve"> eligibil </w:t>
      </w:r>
      <w:r w:rsidR="00A73B54" w:rsidRPr="005402C9">
        <w:rPr>
          <w:sz w:val="22"/>
          <w:szCs w:val="22"/>
        </w:rPr>
        <w:t>- organizație de cercetare și diseminare a cunoștințelor</w:t>
      </w:r>
      <w:r w:rsidR="00A73B54" w:rsidRPr="005402C9">
        <w:t xml:space="preserve"> </w:t>
      </w:r>
      <w:r w:rsidR="00527B37" w:rsidRPr="005402C9">
        <w:rPr>
          <w:sz w:val="22"/>
          <w:szCs w:val="22"/>
        </w:rPr>
        <w:t>trebuie să îndeplinească cumulativ următoarele condiții:</w:t>
      </w:r>
    </w:p>
    <w:p w14:paraId="77452C0B" w14:textId="06B183C8" w:rsidR="00900ED6" w:rsidRPr="005402C9" w:rsidRDefault="00900ED6">
      <w:pPr>
        <w:pStyle w:val="ListParagraph"/>
        <w:numPr>
          <w:ilvl w:val="0"/>
          <w:numId w:val="9"/>
        </w:numPr>
        <w:suppressAutoHyphens w:val="0"/>
        <w:spacing w:line="276" w:lineRule="auto"/>
        <w:jc w:val="both"/>
        <w:textAlignment w:val="auto"/>
        <w:rPr>
          <w:rFonts w:ascii="Trebuchet MS" w:hAnsi="Trebuchet MS"/>
          <w:lang w:val="ro-RO"/>
        </w:rPr>
      </w:pPr>
      <w:r w:rsidRPr="005402C9">
        <w:rPr>
          <w:rFonts w:ascii="Trebuchet MS" w:hAnsi="Trebuchet MS"/>
          <w:lang w:val="ro-RO"/>
        </w:rPr>
        <w:t xml:space="preserve">a fost nominalizat de către un participant direct în proiectul notificat și selectat pentru finanțare în conformitate cu Decizia Comisiei Europene C(2023) 3817 din 08.06.2023 cu privire la aprobarea ajutoarelor de stat individuale pentru </w:t>
      </w:r>
      <w:r w:rsidR="00284ADA" w:rsidRPr="005402C9">
        <w:rPr>
          <w:rFonts w:ascii="Trebuchet MS" w:hAnsi="Trebuchet MS"/>
          <w:lang w:val="ro-RO"/>
        </w:rPr>
        <w:t>PIIEC</w:t>
      </w:r>
      <w:r w:rsidRPr="005402C9">
        <w:rPr>
          <w:rFonts w:ascii="Trebuchet MS" w:hAnsi="Trebuchet MS"/>
          <w:lang w:val="ro-RO"/>
        </w:rPr>
        <w:t xml:space="preserve"> în domeniul microelectronicii și al tehnologiilor comunicațiilor;</w:t>
      </w:r>
    </w:p>
    <w:p w14:paraId="33B78C2C" w14:textId="4BF243D3" w:rsidR="00900ED6" w:rsidRPr="005402C9" w:rsidRDefault="00900ED6">
      <w:pPr>
        <w:pStyle w:val="ListParagraph"/>
        <w:numPr>
          <w:ilvl w:val="0"/>
          <w:numId w:val="9"/>
        </w:numPr>
        <w:suppressAutoHyphens w:val="0"/>
        <w:spacing w:line="276" w:lineRule="auto"/>
        <w:jc w:val="both"/>
        <w:textAlignment w:val="auto"/>
        <w:rPr>
          <w:rFonts w:ascii="Trebuchet MS" w:hAnsi="Trebuchet MS"/>
          <w:lang w:val="ro-RO"/>
        </w:rPr>
      </w:pPr>
      <w:r w:rsidRPr="005402C9">
        <w:rPr>
          <w:rFonts w:ascii="Trebuchet MS" w:hAnsi="Trebuchet MS"/>
          <w:lang w:val="ro-RO"/>
        </w:rPr>
        <w:t>a încheiat un acord de colaborare efectivă cu un participan</w:t>
      </w:r>
      <w:r w:rsidR="00696E03" w:rsidRPr="005402C9">
        <w:rPr>
          <w:rFonts w:ascii="Trebuchet MS" w:hAnsi="Trebuchet MS"/>
          <w:lang w:val="ro-RO"/>
        </w:rPr>
        <w:t>t</w:t>
      </w:r>
      <w:r w:rsidRPr="005402C9">
        <w:rPr>
          <w:rFonts w:ascii="Trebuchet MS" w:hAnsi="Trebuchet MS"/>
          <w:lang w:val="ro-RO"/>
        </w:rPr>
        <w:t xml:space="preserve"> direc</w:t>
      </w:r>
      <w:r w:rsidR="00696E03" w:rsidRPr="005402C9">
        <w:rPr>
          <w:rFonts w:ascii="Trebuchet MS" w:hAnsi="Trebuchet MS"/>
          <w:lang w:val="ro-RO"/>
        </w:rPr>
        <w:t>t</w:t>
      </w:r>
      <w:r w:rsidRPr="005402C9">
        <w:rPr>
          <w:rFonts w:ascii="Trebuchet MS" w:hAnsi="Trebuchet MS"/>
          <w:lang w:val="ro-RO"/>
        </w:rPr>
        <w:t xml:space="preserve"> selecta</w:t>
      </w:r>
      <w:r w:rsidR="00696E03" w:rsidRPr="005402C9">
        <w:rPr>
          <w:rFonts w:ascii="Trebuchet MS" w:hAnsi="Trebuchet MS"/>
          <w:lang w:val="ro-RO"/>
        </w:rPr>
        <w:t>t</w:t>
      </w:r>
      <w:r w:rsidRPr="005402C9">
        <w:rPr>
          <w:rFonts w:ascii="Trebuchet MS" w:hAnsi="Trebuchet MS"/>
          <w:lang w:val="ro-RO"/>
        </w:rPr>
        <w:t xml:space="preserve"> de Comisia Europeană, în cuprinsul căruia sunt stabilite contribuțiile la proiect prin activități de cercetare și dezvoltare care trebuie să aibă un caracter inovator major sau să genereze o valoare adăugată semnificativă în materie de cercetare și dezvoltare, ținând cont de stadiul atins de tehnologie în sectorul în cauză; </w:t>
      </w:r>
    </w:p>
    <w:p w14:paraId="64F398A0" w14:textId="600FFD37" w:rsidR="00E416AC" w:rsidRPr="005402C9" w:rsidRDefault="00E416AC">
      <w:pPr>
        <w:pStyle w:val="ListParagraph"/>
        <w:numPr>
          <w:ilvl w:val="0"/>
          <w:numId w:val="9"/>
        </w:numPr>
        <w:suppressAutoHyphens w:val="0"/>
        <w:spacing w:line="276" w:lineRule="auto"/>
        <w:jc w:val="both"/>
        <w:textAlignment w:val="auto"/>
        <w:rPr>
          <w:rFonts w:ascii="Trebuchet MS" w:hAnsi="Trebuchet MS"/>
          <w:lang w:val="ro-RO"/>
        </w:rPr>
      </w:pPr>
      <w:r w:rsidRPr="005402C9">
        <w:rPr>
          <w:rFonts w:ascii="Trebuchet MS" w:hAnsi="Trebuchet MS"/>
          <w:lang w:val="ro-RO"/>
        </w:rPr>
        <w:t xml:space="preserve">depune o cerere de finanțare în conformitate cu prevederile schemei de ajutor de stat aferente, aprobată prin </w:t>
      </w:r>
      <w:r w:rsidRPr="00FF686A">
        <w:rPr>
          <w:rFonts w:ascii="Trebuchet MS" w:hAnsi="Trebuchet MS"/>
          <w:highlight w:val="yellow"/>
          <w:lang w:val="ro-RO"/>
        </w:rPr>
        <w:t>Ordin MIPE</w:t>
      </w:r>
      <w:r w:rsidR="00FF686A">
        <w:rPr>
          <w:rFonts w:ascii="Trebuchet MS" w:hAnsi="Trebuchet MS"/>
          <w:highlight w:val="yellow"/>
          <w:lang w:val="ro-RO"/>
        </w:rPr>
        <w:t xml:space="preserve"> </w:t>
      </w:r>
      <w:r w:rsidRPr="00FF686A">
        <w:rPr>
          <w:rFonts w:ascii="Trebuchet MS" w:hAnsi="Trebuchet MS"/>
          <w:highlight w:val="yellow"/>
          <w:lang w:val="ro-RO"/>
        </w:rPr>
        <w:t>-</w:t>
      </w:r>
      <w:r w:rsidR="00FF686A">
        <w:rPr>
          <w:rFonts w:ascii="Trebuchet MS" w:hAnsi="Trebuchet MS"/>
          <w:highlight w:val="yellow"/>
          <w:lang w:val="ro-RO"/>
        </w:rPr>
        <w:t xml:space="preserve"> </w:t>
      </w:r>
      <w:r w:rsidRPr="00FF686A">
        <w:rPr>
          <w:rFonts w:ascii="Trebuchet MS" w:hAnsi="Trebuchet MS"/>
          <w:highlight w:val="yellow"/>
          <w:lang w:val="ro-RO"/>
        </w:rPr>
        <w:t>MEAT nr..</w:t>
      </w:r>
      <w:r w:rsidRPr="005402C9">
        <w:rPr>
          <w:rFonts w:ascii="Trebuchet MS" w:hAnsi="Trebuchet MS"/>
          <w:lang w:val="ro-RO"/>
        </w:rPr>
        <w:t xml:space="preserve"> și ale prezentului ghid;</w:t>
      </w:r>
    </w:p>
    <w:p w14:paraId="7033176D" w14:textId="77777777" w:rsidR="00E416AC" w:rsidRPr="005402C9" w:rsidRDefault="00E416AC">
      <w:pPr>
        <w:pStyle w:val="ListParagraph"/>
        <w:numPr>
          <w:ilvl w:val="0"/>
          <w:numId w:val="9"/>
        </w:numPr>
        <w:suppressAutoHyphens w:val="0"/>
        <w:spacing w:line="276" w:lineRule="auto"/>
        <w:jc w:val="both"/>
        <w:textAlignment w:val="auto"/>
        <w:rPr>
          <w:rFonts w:ascii="Trebuchet MS" w:hAnsi="Trebuchet MS"/>
          <w:lang w:val="ro-RO"/>
        </w:rPr>
      </w:pPr>
      <w:r w:rsidRPr="005402C9">
        <w:rPr>
          <w:rFonts w:ascii="Trebuchet MS" w:hAnsi="Trebuchet MS"/>
          <w:lang w:val="ro-RO"/>
        </w:rPr>
        <w:t>trebuie să furnizeze dovezi cu privire la conformitatea subproiectului cu principiul de „a nu aduce prejudicii semnificative“ în sensul art. 17 din Regulamentul (UE) 852/2020 al Parlamentului European și al Consiliului din 18 iunie 2020 privind instituirea unui cadru care să faciliteze investițiile durabile și de modificare a Regulamentului (UE) 2088/2019;</w:t>
      </w:r>
    </w:p>
    <w:p w14:paraId="7316A09D" w14:textId="77777777" w:rsidR="00E416AC" w:rsidRPr="005402C9" w:rsidRDefault="00E416AC">
      <w:pPr>
        <w:pStyle w:val="ListParagraph"/>
        <w:numPr>
          <w:ilvl w:val="0"/>
          <w:numId w:val="9"/>
        </w:numPr>
        <w:suppressAutoHyphens w:val="0"/>
        <w:spacing w:line="276" w:lineRule="auto"/>
        <w:jc w:val="both"/>
        <w:textAlignment w:val="auto"/>
        <w:rPr>
          <w:rFonts w:ascii="Trebuchet MS" w:hAnsi="Trebuchet MS"/>
          <w:lang w:val="ro-RO"/>
        </w:rPr>
      </w:pPr>
      <w:r w:rsidRPr="005402C9">
        <w:rPr>
          <w:rFonts w:ascii="Trebuchet MS" w:hAnsi="Trebuchet MS"/>
          <w:lang w:val="ro-RO"/>
        </w:rPr>
        <w:t>deține dreptul de proprietate/de administrare/de concesiune a terenului și, după caz, proprietatea, concesiunea, administrarea sau închirierea clădirii unde se face investiția, pe durata implementării și sustenabilității subproiectului;</w:t>
      </w:r>
    </w:p>
    <w:p w14:paraId="49F7390D" w14:textId="7D362260" w:rsidR="00900ED6" w:rsidRDefault="003131D1" w:rsidP="003131D1">
      <w:pPr>
        <w:spacing w:before="0" w:after="60" w:line="276" w:lineRule="auto"/>
        <w:jc w:val="both"/>
        <w:rPr>
          <w:sz w:val="22"/>
          <w:szCs w:val="22"/>
        </w:rPr>
      </w:pPr>
      <w:r w:rsidRPr="002B4A2C">
        <w:rPr>
          <w:sz w:val="22"/>
          <w:szCs w:val="22"/>
        </w:rPr>
        <w:t xml:space="preserve">Suplimentar, un solicitant eligibil – întreprindere trebuie să </w:t>
      </w:r>
      <w:r w:rsidRPr="00595B8E">
        <w:rPr>
          <w:sz w:val="22"/>
          <w:szCs w:val="22"/>
        </w:rPr>
        <w:t xml:space="preserve"> </w:t>
      </w:r>
      <w:r w:rsidRPr="002B4A2C">
        <w:rPr>
          <w:sz w:val="22"/>
          <w:szCs w:val="22"/>
        </w:rPr>
        <w:t>desfășoare una sau mai multe dintre următoarele activități în domeniul microelectronicii și tehnologiei comunicațiilor: activități de inginerie (cod CAEN 7112), activități de cercetare-dezvoltare experimentală în științe naturale și inginerie (cod CAEN 7219), activități de telecomunicații (cod CAEN 61), activități de servicii în tehnologia informației (cod CAEN 62) și activități de fabricare a calculatoarelor și a produselor electronice și optice (cod CAEN 26) și încadrate în unul sau mai multe dintre următoarele coduri CAEN: 261, 263, 2651, 271, 272, 273 și 279, 620, 7112, 7120, 721</w:t>
      </w:r>
      <w:r>
        <w:rPr>
          <w:sz w:val="22"/>
          <w:szCs w:val="22"/>
        </w:rPr>
        <w:t>.</w:t>
      </w:r>
    </w:p>
    <w:p w14:paraId="2B12C5A3" w14:textId="77777777" w:rsidR="003131D1" w:rsidRPr="005402C9" w:rsidRDefault="003131D1" w:rsidP="003131D1">
      <w:pPr>
        <w:spacing w:before="0" w:after="60" w:line="276" w:lineRule="auto"/>
        <w:jc w:val="both"/>
      </w:pPr>
    </w:p>
    <w:p w14:paraId="68603CFC" w14:textId="7D900B96" w:rsidR="009B20B7" w:rsidRPr="005402C9" w:rsidRDefault="009B20B7" w:rsidP="0013489D">
      <w:pPr>
        <w:spacing w:before="0" w:after="60" w:line="276" w:lineRule="auto"/>
        <w:jc w:val="both"/>
        <w:rPr>
          <w:sz w:val="22"/>
          <w:szCs w:val="22"/>
        </w:rPr>
      </w:pPr>
      <w:r w:rsidRPr="005402C9">
        <w:rPr>
          <w:sz w:val="22"/>
          <w:szCs w:val="22"/>
        </w:rPr>
        <w:t>În înțelesul prezentului ghid, deținerea dreptului de administrare poate fi dovedită inclusiv prin contracte de închiriere a terenului sau a clădirii.</w:t>
      </w:r>
    </w:p>
    <w:p w14:paraId="40F10659" w14:textId="619736C0" w:rsidR="009B20B7" w:rsidRPr="005402C9" w:rsidRDefault="009B20B7" w:rsidP="0013489D">
      <w:pPr>
        <w:spacing w:before="0" w:after="60" w:line="276" w:lineRule="auto"/>
        <w:jc w:val="both"/>
      </w:pPr>
      <w:r w:rsidRPr="005402C9">
        <w:rPr>
          <w:sz w:val="22"/>
          <w:szCs w:val="22"/>
        </w:rPr>
        <w:t>Totodată, solicitantul eligibil se asigură că:</w:t>
      </w:r>
    </w:p>
    <w:p w14:paraId="2C549319" w14:textId="433561C5" w:rsidR="00900ED6" w:rsidRPr="005402C9" w:rsidRDefault="00900ED6">
      <w:pPr>
        <w:pStyle w:val="ListParagraph"/>
        <w:numPr>
          <w:ilvl w:val="0"/>
          <w:numId w:val="10"/>
        </w:numPr>
        <w:suppressAutoHyphens w:val="0"/>
        <w:spacing w:line="276" w:lineRule="auto"/>
        <w:jc w:val="both"/>
        <w:textAlignment w:val="auto"/>
        <w:rPr>
          <w:rFonts w:ascii="Trebuchet MS" w:hAnsi="Trebuchet MS"/>
          <w:lang w:val="ro-RO"/>
        </w:rPr>
      </w:pPr>
      <w:bookmarkStart w:id="16" w:name="_Hlk146095709"/>
      <w:r w:rsidRPr="005402C9">
        <w:rPr>
          <w:rFonts w:ascii="Trebuchet MS" w:hAnsi="Trebuchet MS"/>
          <w:lang w:val="ro-RO"/>
        </w:rPr>
        <w:lastRenderedPageBreak/>
        <w:t xml:space="preserve">nu </w:t>
      </w:r>
      <w:r w:rsidR="009B20B7" w:rsidRPr="005402C9">
        <w:rPr>
          <w:rFonts w:ascii="Trebuchet MS" w:hAnsi="Trebuchet MS"/>
          <w:lang w:val="ro-RO"/>
        </w:rPr>
        <w:t>este</w:t>
      </w:r>
      <w:r w:rsidRPr="005402C9">
        <w:rPr>
          <w:rFonts w:ascii="Trebuchet MS" w:hAnsi="Trebuchet MS"/>
          <w:lang w:val="ro-RO"/>
        </w:rPr>
        <w:t xml:space="preserve"> întreprindere în dificultate</w:t>
      </w:r>
      <w:r w:rsidR="009B20B7" w:rsidRPr="005402C9">
        <w:rPr>
          <w:rFonts w:ascii="Trebuchet MS" w:hAnsi="Trebuchet MS"/>
          <w:lang w:val="ro-RO"/>
        </w:rPr>
        <w:t xml:space="preserve"> la data depunerii cererii de finanțare și acordării ajutorului de stat,</w:t>
      </w:r>
      <w:r w:rsidRPr="005402C9">
        <w:rPr>
          <w:rFonts w:ascii="Trebuchet MS" w:hAnsi="Trebuchet MS"/>
          <w:lang w:val="ro-RO"/>
        </w:rPr>
        <w:t xml:space="preserve"> în conformitate cu </w:t>
      </w:r>
      <w:r w:rsidR="009B20B7" w:rsidRPr="005402C9">
        <w:rPr>
          <w:rFonts w:ascii="Trebuchet MS" w:hAnsi="Trebuchet MS"/>
          <w:lang w:val="ro-RO"/>
        </w:rPr>
        <w:t>definiția din prezentul ghid;</w:t>
      </w:r>
      <w:bookmarkEnd w:id="16"/>
    </w:p>
    <w:p w14:paraId="439BE4B9" w14:textId="77777777" w:rsidR="00900ED6" w:rsidRPr="005402C9" w:rsidRDefault="00900ED6">
      <w:pPr>
        <w:pStyle w:val="ListParagraph"/>
        <w:numPr>
          <w:ilvl w:val="0"/>
          <w:numId w:val="10"/>
        </w:numPr>
        <w:suppressAutoHyphens w:val="0"/>
        <w:spacing w:line="276" w:lineRule="auto"/>
        <w:jc w:val="both"/>
        <w:textAlignment w:val="auto"/>
        <w:rPr>
          <w:rFonts w:ascii="Trebuchet MS" w:hAnsi="Trebuchet MS"/>
          <w:lang w:val="ro-RO"/>
        </w:rPr>
      </w:pPr>
      <w:r w:rsidRPr="005402C9">
        <w:rPr>
          <w:rFonts w:ascii="Trebuchet MS" w:hAnsi="Trebuchet MS"/>
          <w:lang w:val="ro-RO"/>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21FA8CA1" w14:textId="416A6F48" w:rsidR="006C1351" w:rsidRPr="005402C9" w:rsidRDefault="00900ED6">
      <w:pPr>
        <w:pStyle w:val="ListParagraph"/>
        <w:numPr>
          <w:ilvl w:val="0"/>
          <w:numId w:val="10"/>
        </w:numPr>
        <w:suppressAutoHyphens w:val="0"/>
        <w:spacing w:after="60" w:line="276" w:lineRule="auto"/>
        <w:jc w:val="both"/>
        <w:textAlignment w:val="auto"/>
        <w:rPr>
          <w:rFonts w:ascii="Trebuchet MS" w:hAnsi="Trebuchet MS"/>
          <w:lang w:val="ro-RO"/>
        </w:rPr>
      </w:pPr>
      <w:r w:rsidRPr="005402C9">
        <w:rPr>
          <w:rFonts w:ascii="Trebuchet MS" w:hAnsi="Trebuchet MS"/>
          <w:lang w:val="ro-RO"/>
        </w:rPr>
        <w:t>nu 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r w:rsidR="009B20B7" w:rsidRPr="005402C9">
        <w:rPr>
          <w:rFonts w:ascii="Trebuchet MS" w:hAnsi="Trebuchet MS"/>
          <w:lang w:val="ro-RO"/>
        </w:rPr>
        <w:t>.</w:t>
      </w:r>
    </w:p>
    <w:p w14:paraId="658D1BA9" w14:textId="7DC8B901" w:rsidR="009B20B7" w:rsidRPr="005402C9" w:rsidRDefault="009B20B7">
      <w:pPr>
        <w:pStyle w:val="ListParagraph"/>
        <w:numPr>
          <w:ilvl w:val="0"/>
          <w:numId w:val="10"/>
        </w:numPr>
        <w:suppressAutoHyphens w:val="0"/>
        <w:spacing w:line="276" w:lineRule="auto"/>
        <w:jc w:val="both"/>
        <w:textAlignment w:val="auto"/>
        <w:rPr>
          <w:rFonts w:ascii="Trebuchet MS" w:hAnsi="Trebuchet MS"/>
          <w:lang w:val="ro-RO"/>
        </w:rPr>
      </w:pPr>
      <w:r w:rsidRPr="005402C9">
        <w:rPr>
          <w:rFonts w:ascii="Trebuchet MS" w:hAnsi="Trebuchet MS"/>
          <w:lang w:val="ro-RO"/>
        </w:rPr>
        <w:t xml:space="preserve">reprezentantul legal nu se află în următoarele situații, la data depunerii cererii de finanțare și pe întreaga perioadă de evaluare, selecție și contractate:  </w:t>
      </w:r>
    </w:p>
    <w:p w14:paraId="716B01C7" w14:textId="77777777" w:rsidR="009B20B7" w:rsidRPr="005402C9" w:rsidRDefault="009B20B7">
      <w:pPr>
        <w:pStyle w:val="ListParagraph"/>
        <w:numPr>
          <w:ilvl w:val="1"/>
          <w:numId w:val="10"/>
        </w:numPr>
        <w:suppressAutoHyphens w:val="0"/>
        <w:spacing w:line="276" w:lineRule="auto"/>
        <w:jc w:val="both"/>
        <w:textAlignment w:val="auto"/>
        <w:rPr>
          <w:rFonts w:ascii="Trebuchet MS" w:hAnsi="Trebuchet MS"/>
          <w:lang w:val="ro-RO"/>
        </w:rPr>
      </w:pPr>
      <w:r w:rsidRPr="005402C9">
        <w:rPr>
          <w:rFonts w:ascii="Trebuchet MS" w:hAnsi="Trebuchet MS"/>
          <w:lang w:val="ro-RO"/>
        </w:rPr>
        <w:t>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313011E6" w14:textId="77777777" w:rsidR="009B20B7" w:rsidRPr="005402C9" w:rsidRDefault="009B20B7">
      <w:pPr>
        <w:pStyle w:val="ListParagraph"/>
        <w:numPr>
          <w:ilvl w:val="1"/>
          <w:numId w:val="10"/>
        </w:numPr>
        <w:suppressAutoHyphens w:val="0"/>
        <w:spacing w:line="276" w:lineRule="auto"/>
        <w:jc w:val="both"/>
        <w:textAlignment w:val="auto"/>
        <w:rPr>
          <w:rFonts w:ascii="Trebuchet MS" w:hAnsi="Trebuchet MS"/>
          <w:lang w:val="ro-RO"/>
        </w:rPr>
      </w:pPr>
      <w:r w:rsidRPr="005402C9">
        <w:rPr>
          <w:rFonts w:ascii="Trebuchet MS" w:hAnsi="Trebuchet MS"/>
          <w:lang w:val="ro-RO"/>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6F3BA209" w14:textId="77777777" w:rsidR="009B20B7" w:rsidRPr="005402C9" w:rsidRDefault="009B20B7" w:rsidP="0013489D">
      <w:pPr>
        <w:pStyle w:val="ListParagraph"/>
        <w:suppressAutoHyphens w:val="0"/>
        <w:spacing w:line="276" w:lineRule="auto"/>
        <w:ind w:left="1440"/>
        <w:jc w:val="both"/>
        <w:textAlignment w:val="auto"/>
        <w:rPr>
          <w:rFonts w:ascii="Trebuchet MS" w:hAnsi="Trebuchet MS"/>
          <w:lang w:val="ro-RO"/>
        </w:rPr>
      </w:pPr>
    </w:p>
    <w:p w14:paraId="7EB47C65" w14:textId="0FC52C95" w:rsidR="00FE5F3E" w:rsidRPr="005402C9" w:rsidRDefault="00FE5F3E" w:rsidP="0013489D">
      <w:pPr>
        <w:pStyle w:val="Heading3"/>
        <w:rPr>
          <w:bCs/>
          <w:sz w:val="22"/>
          <w:szCs w:val="22"/>
        </w:rPr>
      </w:pPr>
      <w:bookmarkStart w:id="17" w:name="_Toc150159452"/>
      <w:r w:rsidRPr="005402C9">
        <w:rPr>
          <w:b w:val="0"/>
          <w:bCs/>
          <w:sz w:val="22"/>
          <w:szCs w:val="22"/>
        </w:rPr>
        <w:t>1.2.5 Alocarea financiară a apelului de proiecte</w:t>
      </w:r>
      <w:bookmarkEnd w:id="17"/>
    </w:p>
    <w:p w14:paraId="62ACFA27" w14:textId="77777777" w:rsidR="00284ADA" w:rsidRPr="005402C9" w:rsidRDefault="00284ADA" w:rsidP="00FE5F3E">
      <w:pPr>
        <w:spacing w:before="0" w:after="0" w:line="276" w:lineRule="auto"/>
        <w:jc w:val="both"/>
        <w:rPr>
          <w:color w:val="000000"/>
          <w:sz w:val="22"/>
          <w:szCs w:val="22"/>
        </w:rPr>
      </w:pPr>
    </w:p>
    <w:p w14:paraId="640E58EF" w14:textId="7FF907C2" w:rsidR="00FE5F3E" w:rsidRPr="00FF686A" w:rsidRDefault="00FE5F3E" w:rsidP="00FF686A">
      <w:pPr>
        <w:spacing w:before="0" w:after="0" w:line="276" w:lineRule="auto"/>
        <w:jc w:val="both"/>
        <w:rPr>
          <w:color w:val="000000"/>
          <w:sz w:val="22"/>
          <w:szCs w:val="22"/>
        </w:rPr>
      </w:pPr>
      <w:r w:rsidRPr="005402C9">
        <w:rPr>
          <w:color w:val="000000"/>
          <w:sz w:val="22"/>
          <w:szCs w:val="22"/>
        </w:rPr>
        <w:t xml:space="preserve">Bugetul total reprezentând finanțare nerambursabilă </w:t>
      </w:r>
      <w:r w:rsidR="00284ADA" w:rsidRPr="005402C9">
        <w:rPr>
          <w:color w:val="000000"/>
          <w:sz w:val="22"/>
          <w:szCs w:val="22"/>
        </w:rPr>
        <w:t xml:space="preserve">din PNRR </w:t>
      </w:r>
      <w:r w:rsidRPr="005402C9">
        <w:rPr>
          <w:color w:val="000000"/>
          <w:sz w:val="22"/>
          <w:szCs w:val="22"/>
        </w:rPr>
        <w:t xml:space="preserve">sub forma ajutoarelor de stat, care </w:t>
      </w:r>
      <w:r w:rsidRPr="003A5591">
        <w:rPr>
          <w:color w:val="000000"/>
          <w:sz w:val="22"/>
          <w:szCs w:val="22"/>
        </w:rPr>
        <w:t>poate fi acordat pentru participanții indirecți la PIIEC prin prezentul apel de proiecte, este de 304,37 milioane euro,</w:t>
      </w:r>
      <w:r w:rsidRPr="005402C9">
        <w:rPr>
          <w:color w:val="000000"/>
          <w:sz w:val="22"/>
          <w:szCs w:val="22"/>
        </w:rPr>
        <w:t xml:space="preserve"> echivalent în lei la cursul de schimb InforEuro valabil la data acordării ajutoarelor de stat, respectiv data semnării contractelor de finanțare.</w:t>
      </w:r>
    </w:p>
    <w:p w14:paraId="79C4A49A" w14:textId="596C69C0" w:rsidR="008620EF" w:rsidRPr="005402C9" w:rsidRDefault="00D56306" w:rsidP="0013489D">
      <w:pPr>
        <w:pStyle w:val="Heading3"/>
        <w:rPr>
          <w:bCs/>
          <w:sz w:val="22"/>
          <w:szCs w:val="22"/>
        </w:rPr>
      </w:pPr>
      <w:bookmarkStart w:id="18" w:name="_Toc150159453"/>
      <w:r w:rsidRPr="005402C9">
        <w:rPr>
          <w:bCs/>
          <w:sz w:val="22"/>
          <w:szCs w:val="22"/>
        </w:rPr>
        <w:t xml:space="preserve">1.2.6 </w:t>
      </w:r>
      <w:r w:rsidR="00F60438" w:rsidRPr="005402C9">
        <w:rPr>
          <w:b w:val="0"/>
          <w:bCs/>
          <w:sz w:val="22"/>
          <w:szCs w:val="22"/>
        </w:rPr>
        <w:t>Indicatorii apelului de proiecte</w:t>
      </w:r>
      <w:bookmarkEnd w:id="18"/>
    </w:p>
    <w:p w14:paraId="6210A808" w14:textId="77777777" w:rsidR="00D01F53" w:rsidRPr="005402C9" w:rsidRDefault="00D01F53" w:rsidP="00AB5FF3">
      <w:pPr>
        <w:spacing w:before="0" w:after="0" w:line="276" w:lineRule="auto"/>
        <w:jc w:val="both"/>
        <w:rPr>
          <w:sz w:val="22"/>
          <w:szCs w:val="22"/>
        </w:rPr>
      </w:pPr>
      <w:bookmarkStart w:id="19" w:name="_3dy6vkm"/>
      <w:bookmarkEnd w:id="19"/>
    </w:p>
    <w:p w14:paraId="37E97C9C" w14:textId="77777777" w:rsidR="00D01F53" w:rsidRDefault="00D01F53" w:rsidP="00AB5FF3">
      <w:pPr>
        <w:spacing w:before="0" w:after="0" w:line="276" w:lineRule="auto"/>
        <w:jc w:val="both"/>
        <w:rPr>
          <w:sz w:val="22"/>
          <w:szCs w:val="22"/>
        </w:rPr>
      </w:pPr>
      <w:r w:rsidRPr="005402C9">
        <w:rPr>
          <w:sz w:val="22"/>
          <w:szCs w:val="22"/>
        </w:rPr>
        <w:t>Atât în perioada de implementare, cât și de sustenabilitate, beneficiarii vor urmări realizarea următorilor indicatori:</w:t>
      </w:r>
    </w:p>
    <w:tbl>
      <w:tblPr>
        <w:tblW w:w="0" w:type="auto"/>
        <w:jc w:val="center"/>
        <w:tblLook w:val="04A0" w:firstRow="1" w:lastRow="0" w:firstColumn="1" w:lastColumn="0" w:noHBand="0" w:noVBand="1"/>
      </w:tblPr>
      <w:tblGrid>
        <w:gridCol w:w="910"/>
        <w:gridCol w:w="4298"/>
        <w:gridCol w:w="1297"/>
        <w:gridCol w:w="3017"/>
      </w:tblGrid>
      <w:tr w:rsidR="00322D97" w:rsidRPr="005402C9" w14:paraId="42A6EC77" w14:textId="77777777" w:rsidTr="0012329E">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B90F9A6" w14:textId="77777777" w:rsidR="00322D97" w:rsidRPr="005402C9" w:rsidRDefault="00322D97" w:rsidP="0012329E">
            <w:pPr>
              <w:keepNext/>
              <w:keepLines/>
              <w:widowControl w:val="0"/>
              <w:spacing w:before="0" w:after="0" w:line="276" w:lineRule="auto"/>
              <w:jc w:val="center"/>
              <w:rPr>
                <w:rFonts w:cs="Calibri"/>
                <w:b/>
              </w:rPr>
            </w:pPr>
            <w:r w:rsidRPr="005402C9">
              <w:rPr>
                <w:rFonts w:cs="Calibri"/>
                <w:b/>
              </w:rPr>
              <w:lastRenderedPageBreak/>
              <w:t>Nr. crt.</w:t>
            </w:r>
          </w:p>
        </w:tc>
        <w:tc>
          <w:tcPr>
            <w:tcW w:w="42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6282D" w14:textId="77777777" w:rsidR="00322D97" w:rsidRPr="005402C9" w:rsidRDefault="00322D97" w:rsidP="0012329E">
            <w:pPr>
              <w:keepNext/>
              <w:keepLines/>
              <w:widowControl w:val="0"/>
              <w:spacing w:before="0" w:after="0" w:line="276" w:lineRule="auto"/>
              <w:jc w:val="center"/>
              <w:rPr>
                <w:rFonts w:cs="Calibri"/>
                <w:b/>
              </w:rPr>
            </w:pPr>
            <w:r w:rsidRPr="005402C9">
              <w:rPr>
                <w:rFonts w:cs="Calibri"/>
                <w:b/>
              </w:rPr>
              <w:t>Denumire indicator</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01C25" w14:textId="77777777" w:rsidR="00322D97" w:rsidRPr="005402C9" w:rsidRDefault="00322D97" w:rsidP="0012329E">
            <w:pPr>
              <w:keepNext/>
              <w:keepLines/>
              <w:widowControl w:val="0"/>
              <w:spacing w:before="0" w:after="0" w:line="276" w:lineRule="auto"/>
              <w:jc w:val="center"/>
              <w:rPr>
                <w:rFonts w:cs="Calibri"/>
                <w:b/>
              </w:rPr>
            </w:pPr>
            <w:r w:rsidRPr="005402C9">
              <w:t>Unitate de măsură</w:t>
            </w:r>
          </w:p>
        </w:tc>
        <w:tc>
          <w:tcPr>
            <w:tcW w:w="3017" w:type="dxa"/>
            <w:tcBorders>
              <w:top w:val="single" w:sz="4" w:space="0" w:color="000000"/>
              <w:left w:val="single" w:sz="4" w:space="0" w:color="000000"/>
              <w:bottom w:val="single" w:sz="4" w:space="0" w:color="000000"/>
              <w:right w:val="single" w:sz="4" w:space="0" w:color="000000"/>
            </w:tcBorders>
            <w:vAlign w:val="center"/>
          </w:tcPr>
          <w:p w14:paraId="13446A19" w14:textId="77777777" w:rsidR="00322D97" w:rsidRPr="005402C9" w:rsidRDefault="00322D97" w:rsidP="0012329E">
            <w:pPr>
              <w:keepNext/>
              <w:keepLines/>
              <w:widowControl w:val="0"/>
              <w:spacing w:before="0" w:after="0" w:line="276" w:lineRule="auto"/>
              <w:jc w:val="center"/>
              <w:rPr>
                <w:rFonts w:cs="Calibri"/>
                <w:b/>
              </w:rPr>
            </w:pPr>
            <w:r w:rsidRPr="005402C9">
              <w:t>Valoarea țintă</w:t>
            </w:r>
          </w:p>
        </w:tc>
      </w:tr>
      <w:tr w:rsidR="00322D97" w:rsidRPr="005402C9" w14:paraId="297477F6" w14:textId="77777777" w:rsidTr="0012329E">
        <w:trPr>
          <w:trHeight w:val="332"/>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8CA7197" w14:textId="77777777" w:rsidR="00322D97" w:rsidRPr="005402C9" w:rsidRDefault="00322D97" w:rsidP="0012329E">
            <w:pPr>
              <w:keepNext/>
              <w:keepLines/>
              <w:widowControl w:val="0"/>
              <w:spacing w:before="0" w:after="0" w:line="276" w:lineRule="auto"/>
              <w:jc w:val="both"/>
            </w:pPr>
            <w:r w:rsidRPr="005402C9">
              <w:rPr>
                <w:b/>
                <w:u w:val="single"/>
              </w:rPr>
              <w:t>Indicator prestabilit de realizare:</w:t>
            </w:r>
          </w:p>
        </w:tc>
      </w:tr>
      <w:tr w:rsidR="00322D97" w:rsidRPr="005402C9" w14:paraId="4A359865" w14:textId="77777777" w:rsidTr="0012329E">
        <w:trPr>
          <w:trHeight w:val="699"/>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42AE47E" w14:textId="77777777" w:rsidR="00322D97" w:rsidRPr="005402C9" w:rsidRDefault="00322D97" w:rsidP="00322D97">
            <w:pPr>
              <w:pStyle w:val="ListParagraph"/>
              <w:keepNext/>
              <w:keepLines/>
              <w:widowControl w:val="0"/>
              <w:numPr>
                <w:ilvl w:val="0"/>
                <w:numId w:val="4"/>
              </w:numPr>
              <w:tabs>
                <w:tab w:val="clear" w:pos="0"/>
                <w:tab w:val="num" w:pos="157"/>
              </w:tabs>
              <w:suppressAutoHyphens w:val="0"/>
              <w:spacing w:after="0" w:line="276" w:lineRule="auto"/>
              <w:ind w:left="180" w:hanging="218"/>
              <w:jc w:val="center"/>
              <w:textAlignment w:val="auto"/>
              <w:rPr>
                <w:rFonts w:cs="Calibri"/>
                <w:b/>
                <w:szCs w:val="20"/>
              </w:rPr>
            </w:pPr>
          </w:p>
        </w:tc>
        <w:tc>
          <w:tcPr>
            <w:tcW w:w="42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CA498" w14:textId="77777777" w:rsidR="00322D97" w:rsidRPr="005402C9" w:rsidRDefault="00322D97" w:rsidP="0012329E">
            <w:pPr>
              <w:widowControl w:val="0"/>
              <w:spacing w:before="0" w:after="0" w:line="276" w:lineRule="auto"/>
              <w:jc w:val="both"/>
              <w:rPr>
                <w:rFonts w:cs="Calibri"/>
                <w:b/>
              </w:rPr>
            </w:pPr>
            <w:r w:rsidRPr="005402C9">
              <w:rPr>
                <w:iCs/>
              </w:rPr>
              <w:t>Întreprinderi care participă la un proiect important de interes european</w:t>
            </w:r>
            <w:r w:rsidRPr="005402C9">
              <w:t xml:space="preserve"> </w:t>
            </w:r>
            <w:r w:rsidRPr="005402C9">
              <w:rPr>
                <w:iCs/>
              </w:rPr>
              <w:t>comun</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2793" w14:textId="77777777" w:rsidR="00322D97" w:rsidRPr="00D467ED" w:rsidRDefault="00322D97" w:rsidP="0012329E">
            <w:pPr>
              <w:keepNext/>
              <w:keepLines/>
              <w:widowControl w:val="0"/>
              <w:spacing w:before="0" w:after="0" w:line="276" w:lineRule="auto"/>
              <w:jc w:val="both"/>
              <w:rPr>
                <w:rFonts w:cs="Calibri"/>
                <w:i/>
                <w:iCs/>
              </w:rPr>
            </w:pPr>
            <w:r w:rsidRPr="00D467ED">
              <w:rPr>
                <w:rFonts w:cs="Calibri"/>
                <w:i/>
                <w:iCs/>
              </w:rPr>
              <w:t>Număr</w:t>
            </w:r>
          </w:p>
        </w:tc>
        <w:tc>
          <w:tcPr>
            <w:tcW w:w="3017" w:type="dxa"/>
            <w:tcBorders>
              <w:top w:val="single" w:sz="4" w:space="0" w:color="000000"/>
              <w:left w:val="single" w:sz="4" w:space="0" w:color="000000"/>
              <w:bottom w:val="single" w:sz="4" w:space="0" w:color="000000"/>
              <w:right w:val="single" w:sz="4" w:space="0" w:color="000000"/>
            </w:tcBorders>
          </w:tcPr>
          <w:p w14:paraId="6A61E966" w14:textId="77777777" w:rsidR="00322D97" w:rsidRPr="005402C9" w:rsidRDefault="00322D97" w:rsidP="0012329E">
            <w:pPr>
              <w:keepNext/>
              <w:keepLines/>
              <w:widowControl w:val="0"/>
              <w:spacing w:before="0" w:after="0" w:line="276" w:lineRule="auto"/>
              <w:jc w:val="center"/>
              <w:rPr>
                <w:rFonts w:cs="Calibri"/>
              </w:rPr>
            </w:pPr>
          </w:p>
          <w:p w14:paraId="4943D455" w14:textId="77777777" w:rsidR="00322D97" w:rsidRPr="005402C9" w:rsidRDefault="00322D97" w:rsidP="0012329E">
            <w:pPr>
              <w:widowControl w:val="0"/>
              <w:spacing w:before="0" w:after="0" w:line="276" w:lineRule="auto"/>
              <w:jc w:val="center"/>
              <w:rPr>
                <w:rFonts w:cs="Calibri"/>
              </w:rPr>
            </w:pPr>
            <w:r w:rsidRPr="005402C9">
              <w:rPr>
                <w:rFonts w:cs="Calibri"/>
              </w:rPr>
              <w:t>1</w:t>
            </w:r>
          </w:p>
        </w:tc>
      </w:tr>
      <w:tr w:rsidR="00322D97" w:rsidRPr="005402C9" w14:paraId="59E60CBB" w14:textId="77777777" w:rsidTr="0012329E">
        <w:trPr>
          <w:trHeight w:val="35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243A87" w14:textId="77777777" w:rsidR="00322D97" w:rsidRPr="005402C9" w:rsidRDefault="00322D97" w:rsidP="0012329E">
            <w:pPr>
              <w:keepNext/>
              <w:keepLines/>
              <w:widowControl w:val="0"/>
              <w:spacing w:before="0" w:after="0" w:line="276" w:lineRule="auto"/>
              <w:jc w:val="both"/>
              <w:rPr>
                <w:rFonts w:cs="Calibri"/>
                <w:b/>
              </w:rPr>
            </w:pPr>
            <w:r w:rsidRPr="005402C9">
              <w:rPr>
                <w:rFonts w:cs="Calibri"/>
                <w:b/>
                <w:u w:val="single"/>
              </w:rPr>
              <w:t>Indicatori suplimentari de realizare</w:t>
            </w:r>
            <w:r w:rsidRPr="005402C9">
              <w:rPr>
                <w:rFonts w:cs="Calibri"/>
                <w:b/>
              </w:rPr>
              <w:t xml:space="preserve">: </w:t>
            </w:r>
          </w:p>
        </w:tc>
      </w:tr>
      <w:tr w:rsidR="00322D97" w:rsidRPr="005402C9" w14:paraId="614AE84D" w14:textId="77777777" w:rsidTr="0012329E">
        <w:trPr>
          <w:trHeight w:val="1354"/>
          <w:jc w:val="center"/>
        </w:trPr>
        <w:tc>
          <w:tcPr>
            <w:tcW w:w="0" w:type="auto"/>
            <w:vMerge w:val="restart"/>
            <w:tcBorders>
              <w:top w:val="single" w:sz="4" w:space="0" w:color="auto"/>
              <w:left w:val="single" w:sz="4" w:space="0" w:color="auto"/>
              <w:right w:val="single" w:sz="4" w:space="0" w:color="auto"/>
            </w:tcBorders>
            <w:shd w:val="clear" w:color="auto" w:fill="auto"/>
            <w:vAlign w:val="center"/>
          </w:tcPr>
          <w:p w14:paraId="69834AE8" w14:textId="77777777" w:rsidR="00322D97" w:rsidRPr="005402C9" w:rsidRDefault="00322D97" w:rsidP="0012329E">
            <w:pPr>
              <w:pStyle w:val="ListParagraph"/>
              <w:keepNext/>
              <w:keepLines/>
              <w:widowControl w:val="0"/>
              <w:suppressAutoHyphens w:val="0"/>
              <w:spacing w:after="0" w:line="276" w:lineRule="auto"/>
              <w:ind w:left="0"/>
              <w:jc w:val="center"/>
              <w:rPr>
                <w:rFonts w:cs="Calibri"/>
                <w:bCs/>
                <w:szCs w:val="20"/>
              </w:rPr>
            </w:pPr>
            <w:r w:rsidRPr="005402C9">
              <w:rPr>
                <w:rFonts w:cs="Calibri"/>
                <w:bCs/>
                <w:szCs w:val="20"/>
              </w:rPr>
              <w:t>2.</w:t>
            </w:r>
          </w:p>
        </w:tc>
        <w:tc>
          <w:tcPr>
            <w:tcW w:w="4298" w:type="dxa"/>
            <w:tcBorders>
              <w:top w:val="single" w:sz="4" w:space="0" w:color="000000"/>
              <w:left w:val="single" w:sz="4" w:space="0" w:color="auto"/>
              <w:right w:val="single" w:sz="4" w:space="0" w:color="000000"/>
            </w:tcBorders>
            <w:shd w:val="clear" w:color="auto" w:fill="auto"/>
            <w:vAlign w:val="center"/>
          </w:tcPr>
          <w:p w14:paraId="6CDD927A" w14:textId="77777777" w:rsidR="00322D97" w:rsidRDefault="00322D97" w:rsidP="0012329E">
            <w:pPr>
              <w:pStyle w:val="ListParagraph"/>
              <w:keepNext/>
              <w:keepLines/>
              <w:widowControl w:val="0"/>
              <w:suppressAutoHyphens w:val="0"/>
              <w:spacing w:after="0" w:line="276" w:lineRule="auto"/>
              <w:ind w:left="0"/>
              <w:jc w:val="both"/>
              <w:rPr>
                <w:rFonts w:cs="Calibri"/>
                <w:b/>
                <w:szCs w:val="20"/>
              </w:rPr>
            </w:pPr>
            <w:proofErr w:type="spellStart"/>
            <w:r w:rsidRPr="005402C9">
              <w:rPr>
                <w:rFonts w:cs="Calibri"/>
                <w:b/>
                <w:szCs w:val="20"/>
              </w:rPr>
              <w:t>Domeniul</w:t>
            </w:r>
            <w:proofErr w:type="spellEnd"/>
            <w:r w:rsidRPr="005402C9">
              <w:rPr>
                <w:rFonts w:cs="Calibri"/>
                <w:b/>
                <w:szCs w:val="20"/>
              </w:rPr>
              <w:t xml:space="preserve"> de </w:t>
            </w:r>
            <w:proofErr w:type="spellStart"/>
            <w:r w:rsidRPr="005402C9">
              <w:rPr>
                <w:rFonts w:cs="Calibri"/>
                <w:b/>
                <w:szCs w:val="20"/>
              </w:rPr>
              <w:t>intervenție</w:t>
            </w:r>
            <w:proofErr w:type="spellEnd"/>
            <w:r w:rsidRPr="005402C9">
              <w:rPr>
                <w:rFonts w:cs="Calibri"/>
                <w:b/>
                <w:szCs w:val="20"/>
              </w:rPr>
              <w:t xml:space="preserve"> (workstream – WS)</w:t>
            </w:r>
          </w:p>
          <w:p w14:paraId="0B493741" w14:textId="77777777" w:rsidR="00322D97" w:rsidRPr="00D467ED" w:rsidRDefault="00322D97" w:rsidP="0012329E">
            <w:pPr>
              <w:keepNext/>
              <w:keepLines/>
              <w:widowControl w:val="0"/>
              <w:spacing w:before="0" w:after="0" w:line="276" w:lineRule="auto"/>
              <w:ind w:left="226"/>
              <w:jc w:val="both"/>
              <w:rPr>
                <w:rFonts w:cs="Calibri"/>
                <w:b/>
              </w:rPr>
            </w:pPr>
            <w:r w:rsidRPr="00D467ED">
              <w:rPr>
                <w:rFonts w:cs="Calibri"/>
                <w:b/>
              </w:rPr>
              <w:t>Acțiuni specifice (task-uri)</w:t>
            </w:r>
          </w:p>
          <w:p w14:paraId="12D95F81" w14:textId="77777777" w:rsidR="00322D97" w:rsidRPr="005402C9" w:rsidRDefault="00322D97" w:rsidP="0012329E">
            <w:pPr>
              <w:keepNext/>
              <w:keepLines/>
              <w:widowControl w:val="0"/>
              <w:spacing w:before="0" w:after="0" w:line="276" w:lineRule="auto"/>
              <w:jc w:val="both"/>
              <w:rPr>
                <w:rFonts w:cs="Calibri"/>
                <w:b/>
              </w:rPr>
            </w:pPr>
            <w:r w:rsidRPr="00D467ED">
              <w:rPr>
                <w:rFonts w:cs="Calibri"/>
                <w:bCs/>
                <w:i/>
                <w:iCs/>
              </w:rPr>
              <w:t>(Se vor completa acțiunile specific fiecărui domeniu de intervenție la care contribuie activitățile de cercetare-dezvoltare)</w:t>
            </w:r>
          </w:p>
        </w:tc>
        <w:tc>
          <w:tcPr>
            <w:tcW w:w="4314" w:type="dxa"/>
            <w:gridSpan w:val="2"/>
            <w:tcBorders>
              <w:top w:val="single" w:sz="4" w:space="0" w:color="000000"/>
              <w:left w:val="single" w:sz="4" w:space="0" w:color="000000"/>
              <w:right w:val="single" w:sz="4" w:space="0" w:color="000000"/>
            </w:tcBorders>
            <w:shd w:val="clear" w:color="auto" w:fill="auto"/>
            <w:vAlign w:val="center"/>
          </w:tcPr>
          <w:p w14:paraId="383195C1" w14:textId="77777777" w:rsidR="00322D97" w:rsidRPr="005402C9" w:rsidRDefault="00322D97" w:rsidP="0012329E">
            <w:pPr>
              <w:pStyle w:val="ListParagraph"/>
              <w:keepNext/>
              <w:keepLines/>
              <w:widowControl w:val="0"/>
              <w:suppressAutoHyphens w:val="0"/>
              <w:spacing w:after="0" w:line="276" w:lineRule="auto"/>
              <w:ind w:left="-14"/>
              <w:jc w:val="center"/>
              <w:rPr>
                <w:rFonts w:cs="Calibri"/>
                <w:b/>
                <w:szCs w:val="20"/>
              </w:rPr>
            </w:pPr>
            <w:proofErr w:type="spellStart"/>
            <w:r>
              <w:rPr>
                <w:rFonts w:cs="Calibri"/>
                <w:b/>
                <w:szCs w:val="20"/>
              </w:rPr>
              <w:t>Livrabil</w:t>
            </w:r>
            <w:proofErr w:type="spellEnd"/>
          </w:p>
        </w:tc>
      </w:tr>
      <w:tr w:rsidR="00322D97" w:rsidRPr="005402C9" w14:paraId="7657A935" w14:textId="77777777" w:rsidTr="0012329E">
        <w:trPr>
          <w:trHeight w:val="242"/>
          <w:jc w:val="center"/>
        </w:trPr>
        <w:tc>
          <w:tcPr>
            <w:tcW w:w="0" w:type="auto"/>
            <w:vMerge/>
            <w:tcBorders>
              <w:left w:val="single" w:sz="4" w:space="0" w:color="auto"/>
              <w:right w:val="single" w:sz="4" w:space="0" w:color="auto"/>
            </w:tcBorders>
            <w:shd w:val="clear" w:color="auto" w:fill="auto"/>
            <w:vAlign w:val="center"/>
          </w:tcPr>
          <w:p w14:paraId="11BEADFD"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5B25787C" w14:textId="77777777" w:rsidR="00322D97" w:rsidRPr="00D467ED" w:rsidRDefault="00322D97" w:rsidP="0012329E">
            <w:pPr>
              <w:keepNext/>
              <w:keepLines/>
              <w:widowControl w:val="0"/>
              <w:spacing w:before="0" w:after="0" w:line="276" w:lineRule="auto"/>
              <w:jc w:val="both"/>
              <w:rPr>
                <w:rFonts w:cs="Calibri"/>
                <w:b/>
              </w:rPr>
            </w:pPr>
            <w:r w:rsidRPr="00D467ED">
              <w:rPr>
                <w:rFonts w:cs="Calibri"/>
                <w:b/>
              </w:rPr>
              <w:t>2.1 WS SENSE</w:t>
            </w:r>
            <w:r>
              <w:rPr>
                <w:rFonts w:cs="Calibri"/>
                <w:b/>
              </w:rPr>
              <w:t xml:space="preserve"> </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478C0204" w14:textId="77777777" w:rsidR="00322D97" w:rsidRPr="005402C9" w:rsidRDefault="00322D97" w:rsidP="0012329E">
            <w:pPr>
              <w:pStyle w:val="ListParagraph"/>
              <w:keepNext/>
              <w:keepLines/>
              <w:widowControl w:val="0"/>
              <w:suppressAutoHyphens w:val="0"/>
              <w:spacing w:after="0" w:line="276" w:lineRule="auto"/>
              <w:ind w:left="0"/>
              <w:jc w:val="both"/>
              <w:rPr>
                <w:rFonts w:cs="Calibri"/>
                <w:b/>
                <w:szCs w:val="20"/>
              </w:rPr>
            </w:pPr>
            <w:proofErr w:type="spellStart"/>
            <w:r w:rsidRPr="007C118C">
              <w:rPr>
                <w:rFonts w:cs="Calibri"/>
                <w:bCs/>
                <w:i/>
                <w:iCs/>
                <w:szCs w:val="20"/>
              </w:rPr>
              <w:t>Număr</w:t>
            </w:r>
            <w:proofErr w:type="spellEnd"/>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62C8B" w14:textId="77777777" w:rsidR="00322D97" w:rsidRPr="00477C46" w:rsidRDefault="00322D97" w:rsidP="0012329E">
            <w:pPr>
              <w:keepNext/>
              <w:keepLines/>
              <w:widowControl w:val="0"/>
              <w:spacing w:before="0" w:after="0" w:line="276" w:lineRule="auto"/>
              <w:ind w:left="226"/>
              <w:jc w:val="both"/>
              <w:rPr>
                <w:rFonts w:cs="Calibri"/>
                <w:b/>
                <w:i/>
                <w:iCs/>
              </w:rPr>
            </w:pPr>
            <w:r>
              <w:rPr>
                <w:rFonts w:cs="Calibri"/>
                <w:bCs/>
                <w:i/>
                <w:iCs/>
              </w:rPr>
              <w:t>Livrabile (</w:t>
            </w:r>
            <w:r w:rsidRPr="00477C46">
              <w:rPr>
                <w:rFonts w:cs="Calibri"/>
                <w:bCs/>
                <w:i/>
                <w:iCs/>
              </w:rPr>
              <w:t>Task 1.n +....+ Task 4.n</w:t>
            </w:r>
            <w:r>
              <w:rPr>
                <w:rFonts w:cs="Calibri"/>
                <w:bCs/>
                <w:i/>
                <w:iCs/>
              </w:rPr>
              <w:t>)</w:t>
            </w:r>
          </w:p>
        </w:tc>
      </w:tr>
      <w:tr w:rsidR="00322D97" w:rsidRPr="005402C9" w14:paraId="702CD185" w14:textId="77777777" w:rsidTr="0012329E">
        <w:trPr>
          <w:trHeight w:val="242"/>
          <w:jc w:val="center"/>
        </w:trPr>
        <w:tc>
          <w:tcPr>
            <w:tcW w:w="0" w:type="auto"/>
            <w:vMerge/>
            <w:tcBorders>
              <w:left w:val="single" w:sz="4" w:space="0" w:color="auto"/>
              <w:right w:val="single" w:sz="4" w:space="0" w:color="auto"/>
            </w:tcBorders>
            <w:shd w:val="clear" w:color="auto" w:fill="auto"/>
            <w:vAlign w:val="center"/>
          </w:tcPr>
          <w:p w14:paraId="1C0358DB"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4774941D" w14:textId="77777777" w:rsidR="00322D97" w:rsidRDefault="00322D97" w:rsidP="0012329E">
            <w:pPr>
              <w:keepNext/>
              <w:keepLines/>
              <w:widowControl w:val="0"/>
              <w:spacing w:before="0" w:after="0" w:line="276" w:lineRule="auto"/>
              <w:ind w:left="226"/>
              <w:jc w:val="both"/>
              <w:rPr>
                <w:rFonts w:cs="Calibri"/>
                <w:bCs/>
              </w:rPr>
            </w:pPr>
            <w:r w:rsidRPr="00D467ED">
              <w:rPr>
                <w:rFonts w:cs="Calibri"/>
                <w:bCs/>
              </w:rPr>
              <w:t>Task 1.</w:t>
            </w:r>
            <w:r>
              <w:rPr>
                <w:rFonts w:cs="Calibri"/>
                <w:bCs/>
              </w:rPr>
              <w:t>n</w:t>
            </w:r>
          </w:p>
          <w:p w14:paraId="5E62EC1C" w14:textId="77777777" w:rsidR="00322D97" w:rsidRDefault="00322D97" w:rsidP="0012329E">
            <w:pPr>
              <w:keepNext/>
              <w:keepLines/>
              <w:widowControl w:val="0"/>
              <w:spacing w:before="0" w:after="0" w:line="276" w:lineRule="auto"/>
              <w:ind w:left="226"/>
              <w:jc w:val="both"/>
              <w:rPr>
                <w:rFonts w:cs="Calibri"/>
                <w:bCs/>
              </w:rPr>
            </w:pPr>
            <w:r>
              <w:rPr>
                <w:rFonts w:cs="Calibri"/>
                <w:bCs/>
              </w:rPr>
              <w:t>...</w:t>
            </w:r>
            <w:r w:rsidRPr="00D467ED">
              <w:rPr>
                <w:rFonts w:cs="Calibri"/>
                <w:bCs/>
              </w:rPr>
              <w:t xml:space="preserve"> </w:t>
            </w:r>
          </w:p>
          <w:p w14:paraId="1408C444" w14:textId="77777777" w:rsidR="00322D97" w:rsidRPr="005402C9" w:rsidRDefault="00322D97" w:rsidP="0012329E">
            <w:pPr>
              <w:keepNext/>
              <w:keepLines/>
              <w:widowControl w:val="0"/>
              <w:spacing w:before="0" w:after="0" w:line="276" w:lineRule="auto"/>
              <w:ind w:left="226"/>
              <w:jc w:val="both"/>
              <w:rPr>
                <w:rFonts w:cs="Calibri"/>
                <w:bCs/>
              </w:rPr>
            </w:pPr>
            <w:r w:rsidRPr="00D467ED">
              <w:rPr>
                <w:rFonts w:cs="Calibri"/>
                <w:bCs/>
              </w:rPr>
              <w:t>Task 4.n</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F5E333B" w14:textId="77777777" w:rsidR="00322D97" w:rsidRPr="005402C9" w:rsidRDefault="00322D97" w:rsidP="0012329E">
            <w:pPr>
              <w:pStyle w:val="ListParagraph"/>
              <w:keepNext/>
              <w:keepLines/>
              <w:widowControl w:val="0"/>
              <w:suppressAutoHyphens w:val="0"/>
              <w:spacing w:after="0" w:line="276" w:lineRule="auto"/>
              <w:ind w:left="0"/>
              <w:rPr>
                <w:rFonts w:cs="Calibri"/>
                <w:b/>
                <w:szCs w:val="20"/>
              </w:rPr>
            </w:pPr>
            <w:proofErr w:type="spellStart"/>
            <w:r w:rsidRPr="007C118C">
              <w:rPr>
                <w:rFonts w:cs="Calibri"/>
                <w:bCs/>
                <w:i/>
                <w:iCs/>
                <w:szCs w:val="20"/>
              </w:rPr>
              <w:t>Număr</w:t>
            </w:r>
            <w:proofErr w:type="spellEnd"/>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01FB2" w14:textId="77777777" w:rsidR="00322D97" w:rsidRPr="005402C9" w:rsidRDefault="00322D97" w:rsidP="0012329E">
            <w:pPr>
              <w:pStyle w:val="ListParagraph"/>
              <w:keepNext/>
              <w:keepLines/>
              <w:widowControl w:val="0"/>
              <w:suppressAutoHyphens w:val="0"/>
              <w:spacing w:after="0" w:line="276" w:lineRule="auto"/>
              <w:jc w:val="both"/>
              <w:rPr>
                <w:rFonts w:cs="Calibri"/>
                <w:b/>
                <w:szCs w:val="20"/>
              </w:rPr>
            </w:pPr>
          </w:p>
        </w:tc>
      </w:tr>
      <w:tr w:rsidR="00322D97" w:rsidRPr="005402C9" w14:paraId="1AFADCCB" w14:textId="77777777" w:rsidTr="0012329E">
        <w:trPr>
          <w:trHeight w:val="242"/>
          <w:jc w:val="center"/>
        </w:trPr>
        <w:tc>
          <w:tcPr>
            <w:tcW w:w="0" w:type="auto"/>
            <w:vMerge/>
            <w:tcBorders>
              <w:left w:val="single" w:sz="4" w:space="0" w:color="auto"/>
              <w:right w:val="single" w:sz="4" w:space="0" w:color="auto"/>
            </w:tcBorders>
            <w:shd w:val="clear" w:color="auto" w:fill="auto"/>
            <w:vAlign w:val="center"/>
          </w:tcPr>
          <w:p w14:paraId="026EBDB4"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6D704288" w14:textId="77777777" w:rsidR="00322D97" w:rsidRPr="00D467ED" w:rsidRDefault="00322D97" w:rsidP="0012329E">
            <w:pPr>
              <w:keepNext/>
              <w:keepLines/>
              <w:widowControl w:val="0"/>
              <w:spacing w:before="0" w:after="0" w:line="276" w:lineRule="auto"/>
              <w:jc w:val="both"/>
              <w:rPr>
                <w:rFonts w:cs="Calibri"/>
                <w:b/>
              </w:rPr>
            </w:pPr>
            <w:r w:rsidRPr="00D467ED">
              <w:rPr>
                <w:rFonts w:cs="Calibri"/>
                <w:b/>
              </w:rPr>
              <w:t>2.2 WS THINK</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06B558B1" w14:textId="77777777" w:rsidR="00322D97" w:rsidRPr="005402C9" w:rsidRDefault="00322D97" w:rsidP="0012329E">
            <w:pPr>
              <w:pStyle w:val="ListParagraph"/>
              <w:keepNext/>
              <w:keepLines/>
              <w:widowControl w:val="0"/>
              <w:suppressAutoHyphens w:val="0"/>
              <w:spacing w:after="0" w:line="276" w:lineRule="auto"/>
              <w:ind w:left="0"/>
              <w:rPr>
                <w:rFonts w:cs="Calibri"/>
                <w:b/>
                <w:szCs w:val="20"/>
              </w:rPr>
            </w:pPr>
            <w:proofErr w:type="spellStart"/>
            <w:r w:rsidRPr="007C118C">
              <w:rPr>
                <w:rFonts w:cs="Calibri"/>
                <w:bCs/>
                <w:i/>
                <w:iCs/>
                <w:szCs w:val="20"/>
              </w:rPr>
              <w:t>Număr</w:t>
            </w:r>
            <w:proofErr w:type="spellEnd"/>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3D76" w14:textId="77777777" w:rsidR="00322D97" w:rsidRPr="005402C9" w:rsidRDefault="00322D97" w:rsidP="0012329E">
            <w:pPr>
              <w:pStyle w:val="ListParagraph"/>
              <w:keepNext/>
              <w:keepLines/>
              <w:widowControl w:val="0"/>
              <w:suppressAutoHyphens w:val="0"/>
              <w:spacing w:after="0" w:line="276" w:lineRule="auto"/>
              <w:ind w:left="211"/>
              <w:jc w:val="both"/>
              <w:rPr>
                <w:rFonts w:cs="Calibri"/>
                <w:b/>
                <w:szCs w:val="20"/>
              </w:rPr>
            </w:pPr>
            <w:proofErr w:type="spellStart"/>
            <w:r>
              <w:rPr>
                <w:rFonts w:cs="Calibri"/>
                <w:bCs/>
                <w:i/>
                <w:iCs/>
              </w:rPr>
              <w:t>Livrabile</w:t>
            </w:r>
            <w:proofErr w:type="spellEnd"/>
            <w:r>
              <w:rPr>
                <w:rFonts w:cs="Calibri"/>
                <w:bCs/>
                <w:i/>
                <w:iCs/>
              </w:rPr>
              <w:t xml:space="preserve"> (</w:t>
            </w:r>
            <w:r w:rsidRPr="00477C46">
              <w:rPr>
                <w:rFonts w:cs="Calibri"/>
                <w:bCs/>
                <w:i/>
                <w:iCs/>
              </w:rPr>
              <w:t>Task 1.n +....+ Task 4.n</w:t>
            </w:r>
            <w:r>
              <w:rPr>
                <w:rFonts w:cs="Calibri"/>
                <w:bCs/>
                <w:i/>
                <w:iCs/>
              </w:rPr>
              <w:t>)</w:t>
            </w:r>
          </w:p>
        </w:tc>
      </w:tr>
      <w:tr w:rsidR="00322D97" w:rsidRPr="005402C9" w14:paraId="53396337" w14:textId="77777777" w:rsidTr="0012329E">
        <w:trPr>
          <w:trHeight w:val="242"/>
          <w:jc w:val="center"/>
        </w:trPr>
        <w:tc>
          <w:tcPr>
            <w:tcW w:w="0" w:type="auto"/>
            <w:vMerge/>
            <w:tcBorders>
              <w:left w:val="single" w:sz="4" w:space="0" w:color="auto"/>
              <w:right w:val="single" w:sz="4" w:space="0" w:color="auto"/>
            </w:tcBorders>
            <w:shd w:val="clear" w:color="auto" w:fill="auto"/>
            <w:vAlign w:val="center"/>
          </w:tcPr>
          <w:p w14:paraId="24F51437"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69154BDC" w14:textId="77777777" w:rsidR="00322D97" w:rsidRDefault="00322D97" w:rsidP="0012329E">
            <w:pPr>
              <w:keepNext/>
              <w:keepLines/>
              <w:widowControl w:val="0"/>
              <w:spacing w:before="0" w:after="0" w:line="276" w:lineRule="auto"/>
              <w:ind w:left="226"/>
              <w:jc w:val="both"/>
              <w:rPr>
                <w:rFonts w:cs="Calibri"/>
                <w:bCs/>
              </w:rPr>
            </w:pPr>
            <w:r w:rsidRPr="00D467ED">
              <w:rPr>
                <w:rFonts w:cs="Calibri"/>
                <w:bCs/>
              </w:rPr>
              <w:t>Task 1.</w:t>
            </w:r>
            <w:r>
              <w:rPr>
                <w:rFonts w:cs="Calibri"/>
                <w:bCs/>
              </w:rPr>
              <w:t>n</w:t>
            </w:r>
          </w:p>
          <w:p w14:paraId="710C1481" w14:textId="77777777" w:rsidR="00322D97" w:rsidRDefault="00322D97" w:rsidP="0012329E">
            <w:pPr>
              <w:keepNext/>
              <w:keepLines/>
              <w:widowControl w:val="0"/>
              <w:spacing w:before="0" w:after="0" w:line="276" w:lineRule="auto"/>
              <w:ind w:left="226"/>
              <w:jc w:val="both"/>
              <w:rPr>
                <w:rFonts w:cs="Calibri"/>
                <w:bCs/>
              </w:rPr>
            </w:pPr>
            <w:r>
              <w:rPr>
                <w:rFonts w:cs="Calibri"/>
                <w:bCs/>
              </w:rPr>
              <w:t>...</w:t>
            </w:r>
            <w:r w:rsidRPr="00D467ED">
              <w:rPr>
                <w:rFonts w:cs="Calibri"/>
                <w:bCs/>
              </w:rPr>
              <w:t xml:space="preserve"> </w:t>
            </w:r>
          </w:p>
          <w:p w14:paraId="777B940B" w14:textId="77777777" w:rsidR="00322D97" w:rsidRPr="005402C9" w:rsidRDefault="00322D97" w:rsidP="0012329E">
            <w:pPr>
              <w:keepNext/>
              <w:keepLines/>
              <w:widowControl w:val="0"/>
              <w:spacing w:before="0" w:after="0" w:line="276" w:lineRule="auto"/>
              <w:ind w:left="226"/>
              <w:jc w:val="both"/>
              <w:rPr>
                <w:rFonts w:cs="Calibri"/>
                <w:bCs/>
              </w:rPr>
            </w:pPr>
            <w:r w:rsidRPr="00D467ED">
              <w:rPr>
                <w:rFonts w:cs="Calibri"/>
                <w:bCs/>
              </w:rPr>
              <w:t>Task 4.n</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5AEB5B83" w14:textId="77777777" w:rsidR="00322D97" w:rsidRPr="005402C9" w:rsidRDefault="00322D97" w:rsidP="0012329E">
            <w:pPr>
              <w:pStyle w:val="ListParagraph"/>
              <w:keepNext/>
              <w:keepLines/>
              <w:widowControl w:val="0"/>
              <w:suppressAutoHyphens w:val="0"/>
              <w:spacing w:after="0" w:line="276" w:lineRule="auto"/>
              <w:ind w:left="0"/>
              <w:rPr>
                <w:rFonts w:cs="Calibri"/>
                <w:b/>
                <w:szCs w:val="20"/>
              </w:rPr>
            </w:pPr>
            <w:proofErr w:type="spellStart"/>
            <w:r w:rsidRPr="007C118C">
              <w:rPr>
                <w:rFonts w:cs="Calibri"/>
                <w:bCs/>
                <w:i/>
                <w:iCs/>
                <w:szCs w:val="20"/>
              </w:rPr>
              <w:t>Număr</w:t>
            </w:r>
            <w:proofErr w:type="spellEnd"/>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291A0" w14:textId="77777777" w:rsidR="00322D97" w:rsidRPr="005402C9" w:rsidRDefault="00322D97" w:rsidP="0012329E">
            <w:pPr>
              <w:pStyle w:val="ListParagraph"/>
              <w:keepNext/>
              <w:keepLines/>
              <w:widowControl w:val="0"/>
              <w:suppressAutoHyphens w:val="0"/>
              <w:spacing w:after="0" w:line="276" w:lineRule="auto"/>
              <w:jc w:val="both"/>
              <w:rPr>
                <w:rFonts w:cs="Calibri"/>
                <w:b/>
                <w:szCs w:val="20"/>
              </w:rPr>
            </w:pPr>
          </w:p>
        </w:tc>
      </w:tr>
      <w:tr w:rsidR="00322D97" w:rsidRPr="005402C9" w14:paraId="3C99FBD1" w14:textId="77777777" w:rsidTr="0012329E">
        <w:trPr>
          <w:trHeight w:val="242"/>
          <w:jc w:val="center"/>
        </w:trPr>
        <w:tc>
          <w:tcPr>
            <w:tcW w:w="0" w:type="auto"/>
            <w:vMerge/>
            <w:tcBorders>
              <w:left w:val="single" w:sz="4" w:space="0" w:color="auto"/>
              <w:right w:val="single" w:sz="4" w:space="0" w:color="auto"/>
            </w:tcBorders>
            <w:shd w:val="clear" w:color="auto" w:fill="auto"/>
            <w:vAlign w:val="center"/>
          </w:tcPr>
          <w:p w14:paraId="5BA028BE"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2A47F337" w14:textId="77777777" w:rsidR="00322D97" w:rsidRPr="00D467ED" w:rsidRDefault="00322D97" w:rsidP="0012329E">
            <w:pPr>
              <w:keepNext/>
              <w:keepLines/>
              <w:widowControl w:val="0"/>
              <w:spacing w:before="0" w:after="0" w:line="276" w:lineRule="auto"/>
              <w:jc w:val="both"/>
              <w:rPr>
                <w:rFonts w:cs="Calibri"/>
                <w:b/>
              </w:rPr>
            </w:pPr>
            <w:r w:rsidRPr="00D467ED">
              <w:rPr>
                <w:rFonts w:cs="Calibri"/>
                <w:b/>
              </w:rPr>
              <w:t>2.3 WS ACT</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54A57EE" w14:textId="77777777" w:rsidR="00322D97" w:rsidRPr="005402C9" w:rsidRDefault="00322D97" w:rsidP="0012329E">
            <w:pPr>
              <w:pStyle w:val="ListParagraph"/>
              <w:keepNext/>
              <w:keepLines/>
              <w:widowControl w:val="0"/>
              <w:suppressAutoHyphens w:val="0"/>
              <w:spacing w:after="0" w:line="276" w:lineRule="auto"/>
              <w:ind w:left="0"/>
              <w:jc w:val="both"/>
              <w:rPr>
                <w:rFonts w:cs="Calibri"/>
                <w:b/>
                <w:szCs w:val="20"/>
              </w:rPr>
            </w:pPr>
            <w:proofErr w:type="spellStart"/>
            <w:r w:rsidRPr="007C118C">
              <w:rPr>
                <w:rFonts w:cs="Calibri"/>
                <w:bCs/>
                <w:i/>
                <w:iCs/>
                <w:szCs w:val="20"/>
              </w:rPr>
              <w:t>Număr</w:t>
            </w:r>
            <w:proofErr w:type="spellEnd"/>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BFBDC" w14:textId="77777777" w:rsidR="00322D97" w:rsidRPr="005402C9" w:rsidRDefault="00322D97" w:rsidP="0012329E">
            <w:pPr>
              <w:pStyle w:val="ListParagraph"/>
              <w:keepNext/>
              <w:keepLines/>
              <w:widowControl w:val="0"/>
              <w:suppressAutoHyphens w:val="0"/>
              <w:spacing w:after="0" w:line="276" w:lineRule="auto"/>
              <w:ind w:left="211"/>
              <w:jc w:val="both"/>
              <w:rPr>
                <w:rFonts w:cs="Calibri"/>
                <w:b/>
                <w:szCs w:val="20"/>
              </w:rPr>
            </w:pPr>
            <w:proofErr w:type="spellStart"/>
            <w:r>
              <w:rPr>
                <w:rFonts w:cs="Calibri"/>
                <w:bCs/>
                <w:i/>
                <w:iCs/>
              </w:rPr>
              <w:t>Livrabile</w:t>
            </w:r>
            <w:proofErr w:type="spellEnd"/>
            <w:r>
              <w:rPr>
                <w:rFonts w:cs="Calibri"/>
                <w:bCs/>
                <w:i/>
                <w:iCs/>
              </w:rPr>
              <w:t xml:space="preserve"> (</w:t>
            </w:r>
            <w:r w:rsidRPr="00477C46">
              <w:rPr>
                <w:rFonts w:cs="Calibri"/>
                <w:bCs/>
                <w:i/>
                <w:iCs/>
              </w:rPr>
              <w:t>Task 1.n +....+ Task 4.n</w:t>
            </w:r>
            <w:r>
              <w:rPr>
                <w:rFonts w:cs="Calibri"/>
                <w:bCs/>
                <w:i/>
                <w:iCs/>
              </w:rPr>
              <w:t>)</w:t>
            </w:r>
          </w:p>
        </w:tc>
      </w:tr>
      <w:tr w:rsidR="00322D97" w:rsidRPr="005402C9" w14:paraId="21E4ACD9" w14:textId="77777777" w:rsidTr="0012329E">
        <w:trPr>
          <w:trHeight w:val="242"/>
          <w:jc w:val="center"/>
        </w:trPr>
        <w:tc>
          <w:tcPr>
            <w:tcW w:w="0" w:type="auto"/>
            <w:vMerge/>
            <w:tcBorders>
              <w:left w:val="single" w:sz="4" w:space="0" w:color="auto"/>
              <w:right w:val="single" w:sz="4" w:space="0" w:color="auto"/>
            </w:tcBorders>
            <w:shd w:val="clear" w:color="auto" w:fill="auto"/>
            <w:vAlign w:val="center"/>
          </w:tcPr>
          <w:p w14:paraId="7A5E530B"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0FA4D033" w14:textId="77777777" w:rsidR="00322D97" w:rsidRDefault="00322D97" w:rsidP="0012329E">
            <w:pPr>
              <w:keepNext/>
              <w:keepLines/>
              <w:widowControl w:val="0"/>
              <w:spacing w:before="0" w:after="0" w:line="276" w:lineRule="auto"/>
              <w:ind w:left="226"/>
              <w:jc w:val="both"/>
              <w:rPr>
                <w:rFonts w:cs="Calibri"/>
                <w:bCs/>
              </w:rPr>
            </w:pPr>
            <w:r w:rsidRPr="00D467ED">
              <w:rPr>
                <w:rFonts w:cs="Calibri"/>
                <w:bCs/>
              </w:rPr>
              <w:t>Task 1.</w:t>
            </w:r>
            <w:r>
              <w:rPr>
                <w:rFonts w:cs="Calibri"/>
                <w:bCs/>
              </w:rPr>
              <w:t>n</w:t>
            </w:r>
          </w:p>
          <w:p w14:paraId="40D3EA1A" w14:textId="77777777" w:rsidR="00322D97" w:rsidRDefault="00322D97" w:rsidP="0012329E">
            <w:pPr>
              <w:keepNext/>
              <w:keepLines/>
              <w:widowControl w:val="0"/>
              <w:spacing w:before="0" w:after="0" w:line="276" w:lineRule="auto"/>
              <w:ind w:left="226"/>
              <w:jc w:val="both"/>
              <w:rPr>
                <w:rFonts w:cs="Calibri"/>
                <w:bCs/>
              </w:rPr>
            </w:pPr>
            <w:r>
              <w:rPr>
                <w:rFonts w:cs="Calibri"/>
                <w:bCs/>
              </w:rPr>
              <w:t>...</w:t>
            </w:r>
            <w:r w:rsidRPr="00D467ED">
              <w:rPr>
                <w:rFonts w:cs="Calibri"/>
                <w:bCs/>
              </w:rPr>
              <w:t xml:space="preserve"> </w:t>
            </w:r>
          </w:p>
          <w:p w14:paraId="1CC8BC6B" w14:textId="77777777" w:rsidR="00322D97" w:rsidRPr="005402C9" w:rsidRDefault="00322D97" w:rsidP="0012329E">
            <w:pPr>
              <w:keepNext/>
              <w:keepLines/>
              <w:widowControl w:val="0"/>
              <w:spacing w:before="0" w:after="0" w:line="276" w:lineRule="auto"/>
              <w:ind w:left="226"/>
              <w:jc w:val="both"/>
              <w:rPr>
                <w:rFonts w:cs="Calibri"/>
                <w:bCs/>
              </w:rPr>
            </w:pPr>
            <w:r w:rsidRPr="00D467ED">
              <w:rPr>
                <w:rFonts w:cs="Calibri"/>
                <w:bCs/>
              </w:rPr>
              <w:t>Task 4.n</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5BF10799" w14:textId="77777777" w:rsidR="00322D97" w:rsidRPr="005402C9" w:rsidRDefault="00322D97" w:rsidP="0012329E">
            <w:pPr>
              <w:pStyle w:val="ListParagraph"/>
              <w:keepNext/>
              <w:keepLines/>
              <w:widowControl w:val="0"/>
              <w:suppressAutoHyphens w:val="0"/>
              <w:spacing w:after="0" w:line="276" w:lineRule="auto"/>
              <w:ind w:left="0"/>
              <w:jc w:val="both"/>
              <w:rPr>
                <w:rFonts w:cs="Calibri"/>
                <w:b/>
                <w:szCs w:val="20"/>
              </w:rPr>
            </w:pPr>
            <w:proofErr w:type="spellStart"/>
            <w:r w:rsidRPr="007C118C">
              <w:rPr>
                <w:rFonts w:cs="Calibri"/>
                <w:bCs/>
                <w:i/>
                <w:iCs/>
                <w:szCs w:val="20"/>
              </w:rPr>
              <w:t>Număr</w:t>
            </w:r>
            <w:proofErr w:type="spellEnd"/>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D514C" w14:textId="77777777" w:rsidR="00322D97" w:rsidRPr="005402C9" w:rsidRDefault="00322D97" w:rsidP="0012329E">
            <w:pPr>
              <w:pStyle w:val="ListParagraph"/>
              <w:keepNext/>
              <w:keepLines/>
              <w:widowControl w:val="0"/>
              <w:suppressAutoHyphens w:val="0"/>
              <w:spacing w:after="0" w:line="276" w:lineRule="auto"/>
              <w:jc w:val="both"/>
              <w:rPr>
                <w:rFonts w:cs="Calibri"/>
                <w:b/>
                <w:szCs w:val="20"/>
              </w:rPr>
            </w:pPr>
          </w:p>
        </w:tc>
      </w:tr>
      <w:tr w:rsidR="00322D97" w:rsidRPr="005402C9" w14:paraId="452C928D" w14:textId="77777777" w:rsidTr="0012329E">
        <w:trPr>
          <w:trHeight w:val="242"/>
          <w:jc w:val="center"/>
        </w:trPr>
        <w:tc>
          <w:tcPr>
            <w:tcW w:w="0" w:type="auto"/>
            <w:vMerge/>
            <w:tcBorders>
              <w:left w:val="single" w:sz="4" w:space="0" w:color="auto"/>
              <w:right w:val="single" w:sz="4" w:space="0" w:color="auto"/>
            </w:tcBorders>
            <w:shd w:val="clear" w:color="auto" w:fill="auto"/>
            <w:vAlign w:val="center"/>
          </w:tcPr>
          <w:p w14:paraId="5CC7CB4F"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77CF84AA" w14:textId="77777777" w:rsidR="00322D97" w:rsidRPr="00D467ED" w:rsidRDefault="00322D97" w:rsidP="0012329E">
            <w:pPr>
              <w:keepNext/>
              <w:keepLines/>
              <w:widowControl w:val="0"/>
              <w:spacing w:before="0" w:after="0" w:line="276" w:lineRule="auto"/>
              <w:jc w:val="both"/>
              <w:rPr>
                <w:rFonts w:cs="Calibri"/>
                <w:b/>
              </w:rPr>
            </w:pPr>
            <w:r w:rsidRPr="00D467ED">
              <w:rPr>
                <w:rFonts w:cs="Calibri"/>
                <w:b/>
              </w:rPr>
              <w:t>2.4 WS COMMUNICATE</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6F216E55" w14:textId="77777777" w:rsidR="00322D97" w:rsidRPr="005402C9" w:rsidRDefault="00322D97" w:rsidP="0012329E">
            <w:pPr>
              <w:pStyle w:val="ListParagraph"/>
              <w:keepNext/>
              <w:keepLines/>
              <w:widowControl w:val="0"/>
              <w:suppressAutoHyphens w:val="0"/>
              <w:spacing w:after="0" w:line="276" w:lineRule="auto"/>
              <w:ind w:left="0"/>
              <w:jc w:val="both"/>
              <w:rPr>
                <w:rFonts w:cs="Calibri"/>
                <w:b/>
                <w:szCs w:val="20"/>
              </w:rPr>
            </w:pPr>
            <w:proofErr w:type="spellStart"/>
            <w:r w:rsidRPr="007C118C">
              <w:rPr>
                <w:rFonts w:cs="Calibri"/>
                <w:bCs/>
                <w:i/>
                <w:iCs/>
                <w:szCs w:val="20"/>
              </w:rPr>
              <w:t>Număr</w:t>
            </w:r>
            <w:proofErr w:type="spellEnd"/>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2A764" w14:textId="77777777" w:rsidR="00322D97" w:rsidRPr="005402C9" w:rsidRDefault="00322D97" w:rsidP="0012329E">
            <w:pPr>
              <w:pStyle w:val="ListParagraph"/>
              <w:keepNext/>
              <w:keepLines/>
              <w:widowControl w:val="0"/>
              <w:suppressAutoHyphens w:val="0"/>
              <w:spacing w:after="0" w:line="276" w:lineRule="auto"/>
              <w:ind w:left="211"/>
              <w:jc w:val="both"/>
              <w:rPr>
                <w:rFonts w:cs="Calibri"/>
                <w:b/>
                <w:szCs w:val="20"/>
              </w:rPr>
            </w:pPr>
            <w:proofErr w:type="spellStart"/>
            <w:r>
              <w:rPr>
                <w:rFonts w:cs="Calibri"/>
                <w:bCs/>
                <w:i/>
                <w:iCs/>
              </w:rPr>
              <w:t>Livrabile</w:t>
            </w:r>
            <w:proofErr w:type="spellEnd"/>
            <w:r>
              <w:rPr>
                <w:rFonts w:cs="Calibri"/>
                <w:bCs/>
                <w:i/>
                <w:iCs/>
              </w:rPr>
              <w:t xml:space="preserve"> (</w:t>
            </w:r>
            <w:r w:rsidRPr="00477C46">
              <w:rPr>
                <w:rFonts w:cs="Calibri"/>
                <w:bCs/>
                <w:i/>
                <w:iCs/>
              </w:rPr>
              <w:t>Task 1.n +....+ Task 4.n</w:t>
            </w:r>
            <w:r>
              <w:rPr>
                <w:rFonts w:cs="Calibri"/>
                <w:bCs/>
                <w:i/>
                <w:iCs/>
              </w:rPr>
              <w:t>)</w:t>
            </w:r>
          </w:p>
        </w:tc>
      </w:tr>
      <w:tr w:rsidR="00322D97" w:rsidRPr="005402C9" w14:paraId="3C3C8166" w14:textId="77777777" w:rsidTr="0012329E">
        <w:trPr>
          <w:trHeight w:val="801"/>
          <w:jc w:val="center"/>
        </w:trPr>
        <w:tc>
          <w:tcPr>
            <w:tcW w:w="0" w:type="auto"/>
            <w:vMerge/>
            <w:tcBorders>
              <w:left w:val="single" w:sz="4" w:space="0" w:color="auto"/>
              <w:right w:val="single" w:sz="4" w:space="0" w:color="auto"/>
            </w:tcBorders>
            <w:shd w:val="clear" w:color="auto" w:fill="auto"/>
            <w:vAlign w:val="center"/>
          </w:tcPr>
          <w:p w14:paraId="59FF025D"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
                <w:szCs w:val="20"/>
              </w:rPr>
            </w:pPr>
          </w:p>
        </w:tc>
        <w:tc>
          <w:tcPr>
            <w:tcW w:w="4298" w:type="dxa"/>
            <w:tcBorders>
              <w:top w:val="single" w:sz="4" w:space="0" w:color="000000"/>
              <w:left w:val="single" w:sz="4" w:space="0" w:color="auto"/>
              <w:right w:val="single" w:sz="4" w:space="0" w:color="000000"/>
            </w:tcBorders>
            <w:shd w:val="clear" w:color="auto" w:fill="auto"/>
            <w:vAlign w:val="center"/>
          </w:tcPr>
          <w:p w14:paraId="270A8D24" w14:textId="77777777" w:rsidR="00322D97" w:rsidRDefault="00322D97" w:rsidP="0012329E">
            <w:pPr>
              <w:keepNext/>
              <w:keepLines/>
              <w:widowControl w:val="0"/>
              <w:spacing w:before="0" w:after="0" w:line="276" w:lineRule="auto"/>
              <w:ind w:left="226"/>
              <w:jc w:val="both"/>
              <w:rPr>
                <w:rFonts w:cs="Calibri"/>
                <w:bCs/>
              </w:rPr>
            </w:pPr>
            <w:r w:rsidRPr="00D467ED">
              <w:rPr>
                <w:rFonts w:cs="Calibri"/>
                <w:bCs/>
              </w:rPr>
              <w:t>Task 1.</w:t>
            </w:r>
            <w:r>
              <w:rPr>
                <w:rFonts w:cs="Calibri"/>
                <w:bCs/>
              </w:rPr>
              <w:t>n</w:t>
            </w:r>
          </w:p>
          <w:p w14:paraId="5AD5725F" w14:textId="77777777" w:rsidR="00322D97" w:rsidRDefault="00322D97" w:rsidP="0012329E">
            <w:pPr>
              <w:keepNext/>
              <w:keepLines/>
              <w:widowControl w:val="0"/>
              <w:spacing w:before="0" w:after="0" w:line="276" w:lineRule="auto"/>
              <w:ind w:left="226"/>
              <w:jc w:val="both"/>
              <w:rPr>
                <w:rFonts w:cs="Calibri"/>
                <w:bCs/>
              </w:rPr>
            </w:pPr>
            <w:r>
              <w:rPr>
                <w:rFonts w:cs="Calibri"/>
                <w:bCs/>
              </w:rPr>
              <w:t>...</w:t>
            </w:r>
            <w:r w:rsidRPr="00D467ED">
              <w:rPr>
                <w:rFonts w:cs="Calibri"/>
                <w:bCs/>
              </w:rPr>
              <w:t xml:space="preserve"> </w:t>
            </w:r>
          </w:p>
          <w:p w14:paraId="49918D9D" w14:textId="77777777" w:rsidR="00322D97" w:rsidRPr="005402C9" w:rsidRDefault="00322D97" w:rsidP="0012329E">
            <w:pPr>
              <w:keepNext/>
              <w:keepLines/>
              <w:widowControl w:val="0"/>
              <w:spacing w:before="0" w:after="0" w:line="276" w:lineRule="auto"/>
              <w:ind w:left="226"/>
              <w:jc w:val="both"/>
              <w:rPr>
                <w:rFonts w:cs="Calibri"/>
                <w:b/>
              </w:rPr>
            </w:pPr>
            <w:r w:rsidRPr="00D467ED">
              <w:rPr>
                <w:rFonts w:cs="Calibri"/>
                <w:bCs/>
              </w:rPr>
              <w:t>Task 4.n</w:t>
            </w:r>
          </w:p>
        </w:tc>
        <w:tc>
          <w:tcPr>
            <w:tcW w:w="1297" w:type="dxa"/>
            <w:tcBorders>
              <w:top w:val="single" w:sz="4" w:space="0" w:color="000000"/>
              <w:left w:val="single" w:sz="4" w:space="0" w:color="000000"/>
              <w:right w:val="single" w:sz="4" w:space="0" w:color="000000"/>
            </w:tcBorders>
            <w:shd w:val="clear" w:color="auto" w:fill="auto"/>
          </w:tcPr>
          <w:p w14:paraId="6FF29779" w14:textId="77777777" w:rsidR="00322D97" w:rsidRPr="005402C9" w:rsidRDefault="00322D97" w:rsidP="0012329E">
            <w:pPr>
              <w:pStyle w:val="ListParagraph"/>
              <w:keepNext/>
              <w:keepLines/>
              <w:widowControl w:val="0"/>
              <w:suppressAutoHyphens w:val="0"/>
              <w:spacing w:after="0" w:line="276" w:lineRule="auto"/>
              <w:ind w:left="0"/>
              <w:jc w:val="both"/>
              <w:rPr>
                <w:bCs/>
                <w:i/>
                <w:iCs/>
              </w:rPr>
            </w:pPr>
            <w:proofErr w:type="spellStart"/>
            <w:r w:rsidRPr="007C118C">
              <w:rPr>
                <w:rFonts w:cs="Calibri"/>
                <w:bCs/>
                <w:i/>
                <w:iCs/>
                <w:szCs w:val="20"/>
              </w:rPr>
              <w:t>Număr</w:t>
            </w:r>
            <w:proofErr w:type="spellEnd"/>
          </w:p>
        </w:tc>
        <w:tc>
          <w:tcPr>
            <w:tcW w:w="3017" w:type="dxa"/>
            <w:tcBorders>
              <w:top w:val="single" w:sz="4" w:space="0" w:color="000000"/>
              <w:left w:val="single" w:sz="4" w:space="0" w:color="000000"/>
              <w:right w:val="single" w:sz="4" w:space="0" w:color="000000"/>
            </w:tcBorders>
            <w:shd w:val="clear" w:color="auto" w:fill="auto"/>
            <w:vAlign w:val="center"/>
          </w:tcPr>
          <w:p w14:paraId="48A9FC2F" w14:textId="77777777" w:rsidR="00322D97" w:rsidRPr="005402C9" w:rsidRDefault="00322D97" w:rsidP="0012329E">
            <w:pPr>
              <w:pStyle w:val="ListParagraph"/>
              <w:keepNext/>
              <w:keepLines/>
              <w:widowControl w:val="0"/>
              <w:suppressAutoHyphens w:val="0"/>
              <w:spacing w:after="0" w:line="276" w:lineRule="auto"/>
              <w:ind w:left="0"/>
              <w:jc w:val="center"/>
              <w:rPr>
                <w:bCs/>
                <w:i/>
                <w:iCs/>
              </w:rPr>
            </w:pPr>
          </w:p>
        </w:tc>
      </w:tr>
      <w:tr w:rsidR="00322D97" w:rsidRPr="005402C9" w14:paraId="1A052CDB" w14:textId="77777777" w:rsidTr="0012329E">
        <w:trPr>
          <w:trHeight w:val="242"/>
          <w:jc w:val="center"/>
        </w:trPr>
        <w:tc>
          <w:tcPr>
            <w:tcW w:w="9169"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783CF63A" w14:textId="77777777" w:rsidR="00322D97" w:rsidRPr="005402C9" w:rsidRDefault="00322D97" w:rsidP="0012329E">
            <w:pPr>
              <w:keepNext/>
              <w:keepLines/>
              <w:widowControl w:val="0"/>
              <w:spacing w:before="0" w:after="0" w:line="276" w:lineRule="auto"/>
              <w:jc w:val="both"/>
              <w:rPr>
                <w:rFonts w:cs="Calibri"/>
                <w:b/>
                <w:u w:val="single"/>
              </w:rPr>
            </w:pPr>
          </w:p>
          <w:p w14:paraId="55BEF68C" w14:textId="77777777" w:rsidR="00322D97" w:rsidRPr="005402C9" w:rsidRDefault="00322D97" w:rsidP="0012329E">
            <w:pPr>
              <w:keepNext/>
              <w:keepLines/>
              <w:widowControl w:val="0"/>
              <w:spacing w:before="0" w:after="0" w:line="276" w:lineRule="auto"/>
              <w:jc w:val="both"/>
              <w:rPr>
                <w:bCs/>
                <w:i/>
                <w:iCs/>
              </w:rPr>
            </w:pPr>
            <w:r w:rsidRPr="005402C9">
              <w:rPr>
                <w:rFonts w:cs="Calibri"/>
                <w:b/>
                <w:u w:val="single"/>
              </w:rPr>
              <w:t>Indicatori suplimentari de rezultat</w:t>
            </w:r>
            <w:r w:rsidRPr="005402C9">
              <w:rPr>
                <w:rFonts w:cs="Calibri"/>
                <w:b/>
              </w:rPr>
              <w:t xml:space="preserve">: </w:t>
            </w:r>
          </w:p>
        </w:tc>
      </w:tr>
      <w:tr w:rsidR="00322D97" w:rsidRPr="005402C9" w14:paraId="245D863A" w14:textId="77777777" w:rsidTr="0012329E">
        <w:trPr>
          <w:trHeight w:val="422"/>
          <w:jc w:val="center"/>
        </w:trPr>
        <w:tc>
          <w:tcPr>
            <w:tcW w:w="0" w:type="auto"/>
            <w:vMerge w:val="restart"/>
            <w:tcBorders>
              <w:top w:val="single" w:sz="4" w:space="0" w:color="auto"/>
              <w:left w:val="single" w:sz="4" w:space="0" w:color="auto"/>
              <w:right w:val="single" w:sz="4" w:space="0" w:color="auto"/>
            </w:tcBorders>
            <w:shd w:val="clear" w:color="auto" w:fill="auto"/>
            <w:vAlign w:val="center"/>
          </w:tcPr>
          <w:p w14:paraId="539698C9"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center"/>
              <w:rPr>
                <w:rFonts w:cs="Calibri"/>
                <w:b/>
                <w:szCs w:val="20"/>
              </w:rPr>
            </w:pPr>
            <w:r w:rsidRPr="005402C9">
              <w:rPr>
                <w:rFonts w:cs="Calibri"/>
                <w:b/>
                <w:szCs w:val="20"/>
              </w:rPr>
              <w:t>3.</w:t>
            </w:r>
          </w:p>
        </w:tc>
        <w:tc>
          <w:tcPr>
            <w:tcW w:w="4298" w:type="dxa"/>
            <w:vMerge w:val="restart"/>
            <w:tcBorders>
              <w:top w:val="single" w:sz="4" w:space="0" w:color="000000"/>
              <w:left w:val="single" w:sz="4" w:space="0" w:color="auto"/>
              <w:right w:val="single" w:sz="4" w:space="0" w:color="000000"/>
            </w:tcBorders>
            <w:shd w:val="clear" w:color="auto" w:fill="auto"/>
            <w:vAlign w:val="center"/>
          </w:tcPr>
          <w:p w14:paraId="53703EF2" w14:textId="77777777" w:rsidR="00322D97" w:rsidRDefault="00322D97" w:rsidP="0012329E">
            <w:pPr>
              <w:keepNext/>
              <w:keepLines/>
              <w:widowControl w:val="0"/>
              <w:spacing w:before="0" w:after="0" w:line="276" w:lineRule="auto"/>
              <w:jc w:val="both"/>
              <w:rPr>
                <w:rFonts w:cs="Calibri"/>
              </w:rPr>
            </w:pPr>
          </w:p>
          <w:p w14:paraId="142BA149" w14:textId="77777777" w:rsidR="00322D97" w:rsidRDefault="00322D97" w:rsidP="0012329E">
            <w:pPr>
              <w:keepNext/>
              <w:keepLines/>
              <w:widowControl w:val="0"/>
              <w:spacing w:before="0" w:after="0" w:line="276" w:lineRule="auto"/>
              <w:jc w:val="both"/>
              <w:rPr>
                <w:rFonts w:cs="Calibri"/>
              </w:rPr>
            </w:pPr>
          </w:p>
          <w:p w14:paraId="68D7190D" w14:textId="77777777" w:rsidR="00322D97" w:rsidRDefault="00322D97" w:rsidP="0012329E">
            <w:pPr>
              <w:keepNext/>
              <w:keepLines/>
              <w:widowControl w:val="0"/>
              <w:spacing w:before="0" w:after="0" w:line="276" w:lineRule="auto"/>
              <w:jc w:val="both"/>
              <w:rPr>
                <w:rFonts w:cs="Calibri"/>
              </w:rPr>
            </w:pPr>
          </w:p>
          <w:p w14:paraId="1EE8F605" w14:textId="77777777" w:rsidR="00322D97" w:rsidRDefault="00322D97" w:rsidP="0012329E">
            <w:pPr>
              <w:keepNext/>
              <w:keepLines/>
              <w:widowControl w:val="0"/>
              <w:spacing w:before="0" w:after="0" w:line="276" w:lineRule="auto"/>
              <w:jc w:val="both"/>
              <w:rPr>
                <w:rFonts w:cs="Calibri"/>
              </w:rPr>
            </w:pPr>
            <w:r w:rsidRPr="005402C9">
              <w:rPr>
                <w:rFonts w:cs="Calibri"/>
              </w:rPr>
              <w:t>3.</w:t>
            </w:r>
            <w:r>
              <w:rPr>
                <w:rFonts w:cs="Calibri"/>
              </w:rPr>
              <w:t>1</w:t>
            </w:r>
            <w:r w:rsidRPr="005402C9">
              <w:rPr>
                <w:rFonts w:cs="Calibri"/>
              </w:rPr>
              <w:t xml:space="preserve">  </w:t>
            </w:r>
            <w:r>
              <w:rPr>
                <w:rFonts w:cs="Calibri"/>
              </w:rPr>
              <w:t>Număr cercetători nou angajați în subproiect</w:t>
            </w:r>
          </w:p>
          <w:p w14:paraId="6A32DFAD" w14:textId="77777777" w:rsidR="00322D97" w:rsidRDefault="00322D97" w:rsidP="0012329E">
            <w:pPr>
              <w:keepNext/>
              <w:keepLines/>
              <w:widowControl w:val="0"/>
              <w:spacing w:before="0" w:after="0" w:line="276" w:lineRule="auto"/>
              <w:jc w:val="both"/>
              <w:rPr>
                <w:rFonts w:cs="Calibri"/>
              </w:rPr>
            </w:pPr>
          </w:p>
          <w:p w14:paraId="3CBBE317" w14:textId="77777777" w:rsidR="00322D97" w:rsidRPr="005402C9" w:rsidRDefault="00322D97" w:rsidP="0012329E">
            <w:pPr>
              <w:keepNext/>
              <w:keepLines/>
              <w:widowControl w:val="0"/>
              <w:spacing w:before="0" w:after="0" w:line="276" w:lineRule="auto"/>
              <w:jc w:val="both"/>
              <w:rPr>
                <w:rFonts w:cs="Calibri"/>
              </w:rPr>
            </w:pPr>
            <w:r w:rsidRPr="005402C9">
              <w:rPr>
                <w:rFonts w:cs="Calibri"/>
              </w:rPr>
              <w:t>3.</w:t>
            </w:r>
            <w:r>
              <w:rPr>
                <w:rFonts w:cs="Calibri"/>
              </w:rPr>
              <w:t>2</w:t>
            </w:r>
            <w:r w:rsidRPr="005402C9">
              <w:rPr>
                <w:rFonts w:cs="Calibri"/>
              </w:rPr>
              <w:t xml:space="preserve"> </w:t>
            </w:r>
            <w:r w:rsidRPr="00A02DAB">
              <w:rPr>
                <w:rFonts w:cs="Calibri"/>
              </w:rPr>
              <w:t xml:space="preserve">Număr studenți </w:t>
            </w:r>
            <w:r>
              <w:rPr>
                <w:rFonts w:cs="Calibri"/>
              </w:rPr>
              <w:t>admiși</w:t>
            </w:r>
            <w:r w:rsidRPr="00A02DAB">
              <w:rPr>
                <w:rFonts w:cs="Calibri"/>
              </w:rPr>
              <w:t xml:space="preserve"> la studii</w:t>
            </w:r>
            <w:r>
              <w:rPr>
                <w:rFonts w:cs="Calibri"/>
              </w:rPr>
              <w:t>le</w:t>
            </w:r>
            <w:r w:rsidRPr="00A02DAB">
              <w:rPr>
                <w:rFonts w:cs="Calibri"/>
              </w:rPr>
              <w:t xml:space="preserve"> de doctorat și studii</w:t>
            </w:r>
            <w:r>
              <w:rPr>
                <w:rFonts w:cs="Calibri"/>
              </w:rPr>
              <w:t>le</w:t>
            </w:r>
            <w:r w:rsidRPr="00A02DAB">
              <w:rPr>
                <w:rFonts w:cs="Calibri"/>
              </w:rPr>
              <w:t xml:space="preserve"> de master, </w:t>
            </w:r>
            <w:r>
              <w:rPr>
                <w:rFonts w:cs="Calibri"/>
              </w:rPr>
              <w:t xml:space="preserve">finanțate </w:t>
            </w:r>
            <w:r w:rsidRPr="00A02DAB">
              <w:rPr>
                <w:rFonts w:cs="Calibri"/>
              </w:rPr>
              <w:t>ca urmare a colaborării cu participantul direct</w:t>
            </w:r>
            <w:r>
              <w:rPr>
                <w:rFonts w:cs="Calibri"/>
              </w:rPr>
              <w:t xml:space="preserve"> </w:t>
            </w:r>
            <w:r w:rsidRPr="00A02DAB">
              <w:rPr>
                <w:rFonts w:cs="Calibri"/>
              </w:rPr>
              <w:t>**</w:t>
            </w:r>
            <w:r w:rsidRPr="005402C9">
              <w:rPr>
                <w:rFonts w:cs="Calibri"/>
              </w:rPr>
              <w:t xml:space="preserve">  </w:t>
            </w:r>
          </w:p>
          <w:p w14:paraId="0F03AAC5" w14:textId="77777777" w:rsidR="00322D97" w:rsidRPr="005402C9" w:rsidRDefault="00322D97" w:rsidP="0012329E">
            <w:pPr>
              <w:keepNext/>
              <w:keepLines/>
              <w:widowControl w:val="0"/>
              <w:spacing w:before="0" w:after="0" w:line="276" w:lineRule="auto"/>
              <w:jc w:val="both"/>
              <w:rPr>
                <w:rFonts w:cs="Calibri"/>
              </w:rPr>
            </w:pPr>
          </w:p>
          <w:p w14:paraId="1ABB1100" w14:textId="77777777" w:rsidR="00322D97" w:rsidRPr="005402C9" w:rsidRDefault="00322D97" w:rsidP="0012329E">
            <w:pPr>
              <w:keepNext/>
              <w:keepLines/>
              <w:widowControl w:val="0"/>
              <w:spacing w:before="0" w:after="0" w:line="276" w:lineRule="auto"/>
              <w:jc w:val="both"/>
              <w:rPr>
                <w:rFonts w:cs="Calibri"/>
                <w:b/>
              </w:rPr>
            </w:pPr>
            <w:r w:rsidRPr="00A02DAB">
              <w:rPr>
                <w:rFonts w:cs="Calibri"/>
              </w:rPr>
              <w:t>3.</w:t>
            </w:r>
            <w:r>
              <w:rPr>
                <w:rFonts w:cs="Calibri"/>
              </w:rPr>
              <w:t>3</w:t>
            </w:r>
            <w:r w:rsidRPr="00A02DAB">
              <w:rPr>
                <w:rFonts w:cs="Calibri"/>
              </w:rPr>
              <w:t xml:space="preserve"> </w:t>
            </w:r>
            <w:r w:rsidRPr="00E415B6">
              <w:rPr>
                <w:rFonts w:cs="Calibri"/>
              </w:rPr>
              <w:t>Contribuție la publicații științifice indexate Web of Science (WOS), IEEE, Science Direct, Springer, Scopus</w:t>
            </w:r>
            <w:r w:rsidRPr="005402C9">
              <w:rPr>
                <w:rFonts w:cs="Calibri"/>
              </w:rPr>
              <w:t>Participare la conferințe (prezentări, lucrări publicate, expuneri)</w:t>
            </w:r>
          </w:p>
        </w:tc>
        <w:tc>
          <w:tcPr>
            <w:tcW w:w="1297" w:type="dxa"/>
            <w:tcBorders>
              <w:top w:val="single" w:sz="4" w:space="0" w:color="000000"/>
              <w:left w:val="single" w:sz="4" w:space="0" w:color="000000"/>
              <w:bottom w:val="single" w:sz="4" w:space="0" w:color="000000"/>
              <w:right w:val="single" w:sz="4" w:space="0" w:color="auto"/>
            </w:tcBorders>
            <w:shd w:val="clear" w:color="auto" w:fill="auto"/>
            <w:vAlign w:val="center"/>
          </w:tcPr>
          <w:p w14:paraId="1587E0C7" w14:textId="77777777" w:rsidR="00322D97" w:rsidRPr="005402C9" w:rsidRDefault="00322D97" w:rsidP="0012329E">
            <w:pPr>
              <w:keepNext/>
              <w:keepLines/>
              <w:widowControl w:val="0"/>
              <w:spacing w:before="0" w:after="0" w:line="276" w:lineRule="auto"/>
              <w:jc w:val="center"/>
            </w:pPr>
            <w:r w:rsidRPr="005402C9">
              <w:t>Unitate de măsură</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14:paraId="18C6F97A" w14:textId="77777777" w:rsidR="00322D97" w:rsidRPr="005402C9" w:rsidRDefault="00322D97" w:rsidP="0012329E">
            <w:pPr>
              <w:keepNext/>
              <w:keepLines/>
              <w:widowControl w:val="0"/>
              <w:spacing w:before="0" w:after="0" w:line="276" w:lineRule="auto"/>
              <w:jc w:val="center"/>
            </w:pPr>
            <w:r w:rsidRPr="005402C9">
              <w:t>Valoare țintă</w:t>
            </w:r>
          </w:p>
        </w:tc>
      </w:tr>
      <w:tr w:rsidR="00322D97" w:rsidRPr="005402C9" w14:paraId="0B9185C2" w14:textId="77777777" w:rsidTr="0012329E">
        <w:trPr>
          <w:trHeight w:val="1605"/>
          <w:jc w:val="center"/>
        </w:trPr>
        <w:tc>
          <w:tcPr>
            <w:tcW w:w="0" w:type="auto"/>
            <w:vMerge/>
            <w:tcBorders>
              <w:left w:val="single" w:sz="4" w:space="0" w:color="auto"/>
              <w:bottom w:val="single" w:sz="4" w:space="0" w:color="auto"/>
              <w:right w:val="single" w:sz="4" w:space="0" w:color="auto"/>
            </w:tcBorders>
            <w:shd w:val="clear" w:color="auto" w:fill="auto"/>
            <w:vAlign w:val="center"/>
          </w:tcPr>
          <w:p w14:paraId="32F32ECC" w14:textId="77777777" w:rsidR="00322D97" w:rsidRPr="005402C9" w:rsidRDefault="00322D97" w:rsidP="0012329E">
            <w:pPr>
              <w:pStyle w:val="ListParagraph"/>
              <w:keepNext/>
              <w:keepLines/>
              <w:widowControl w:val="0"/>
              <w:tabs>
                <w:tab w:val="left" w:pos="180"/>
              </w:tabs>
              <w:suppressAutoHyphens w:val="0"/>
              <w:spacing w:after="0" w:line="276" w:lineRule="auto"/>
              <w:ind w:left="180" w:hanging="105"/>
              <w:jc w:val="both"/>
              <w:rPr>
                <w:rFonts w:cs="Calibri"/>
                <w:b/>
                <w:szCs w:val="20"/>
              </w:rPr>
            </w:pPr>
          </w:p>
        </w:tc>
        <w:tc>
          <w:tcPr>
            <w:tcW w:w="4298" w:type="dxa"/>
            <w:vMerge/>
            <w:tcBorders>
              <w:left w:val="single" w:sz="4" w:space="0" w:color="auto"/>
              <w:bottom w:val="single" w:sz="4" w:space="0" w:color="000000"/>
              <w:right w:val="single" w:sz="4" w:space="0" w:color="000000"/>
            </w:tcBorders>
            <w:shd w:val="clear" w:color="auto" w:fill="auto"/>
            <w:vAlign w:val="center"/>
          </w:tcPr>
          <w:p w14:paraId="365705C7" w14:textId="77777777" w:rsidR="00322D97" w:rsidRPr="005402C9" w:rsidRDefault="00322D97" w:rsidP="0012329E">
            <w:pPr>
              <w:keepNext/>
              <w:keepLines/>
              <w:widowControl w:val="0"/>
              <w:spacing w:before="0" w:after="0" w:line="276" w:lineRule="auto"/>
              <w:jc w:val="both"/>
              <w:rPr>
                <w:rFonts w:cs="Calibri"/>
                <w:b/>
              </w:rPr>
            </w:pPr>
          </w:p>
        </w:tc>
        <w:tc>
          <w:tcPr>
            <w:tcW w:w="1297" w:type="dxa"/>
            <w:tcBorders>
              <w:top w:val="single" w:sz="4" w:space="0" w:color="000000"/>
              <w:left w:val="single" w:sz="4" w:space="0" w:color="000000"/>
              <w:bottom w:val="single" w:sz="4" w:space="0" w:color="000000"/>
              <w:right w:val="single" w:sz="4" w:space="0" w:color="auto"/>
            </w:tcBorders>
            <w:shd w:val="clear" w:color="auto" w:fill="auto"/>
          </w:tcPr>
          <w:p w14:paraId="43856993" w14:textId="77777777" w:rsidR="00322D97" w:rsidRDefault="00322D97" w:rsidP="0012329E">
            <w:pPr>
              <w:pStyle w:val="ListParagraph"/>
              <w:keepNext/>
              <w:keepLines/>
              <w:widowControl w:val="0"/>
              <w:suppressAutoHyphens w:val="0"/>
              <w:spacing w:after="0" w:line="276" w:lineRule="auto"/>
              <w:ind w:left="0"/>
              <w:jc w:val="center"/>
              <w:rPr>
                <w:rFonts w:eastAsia="Trebuchet MS" w:cs="Calibri"/>
                <w:szCs w:val="20"/>
              </w:rPr>
            </w:pPr>
          </w:p>
          <w:p w14:paraId="703014C6" w14:textId="77777777" w:rsidR="00322D97" w:rsidRPr="00FF686A" w:rsidRDefault="00322D97" w:rsidP="0012329E">
            <w:pPr>
              <w:pStyle w:val="ListParagraph"/>
              <w:keepNext/>
              <w:keepLines/>
              <w:widowControl w:val="0"/>
              <w:suppressAutoHyphens w:val="0"/>
              <w:spacing w:after="0" w:line="276" w:lineRule="auto"/>
              <w:ind w:left="0"/>
              <w:jc w:val="center"/>
              <w:rPr>
                <w:rFonts w:eastAsia="Trebuchet MS" w:cs="Calibri"/>
                <w:szCs w:val="20"/>
              </w:rPr>
            </w:pPr>
            <w:proofErr w:type="spellStart"/>
            <w:r w:rsidRPr="00FF686A">
              <w:rPr>
                <w:rFonts w:eastAsia="Trebuchet MS" w:cs="Calibri"/>
                <w:szCs w:val="20"/>
              </w:rPr>
              <w:t>Număr</w:t>
            </w:r>
            <w:proofErr w:type="spellEnd"/>
            <w:r w:rsidRPr="00FF686A">
              <w:rPr>
                <w:rFonts w:eastAsia="Trebuchet MS" w:cs="Calibri"/>
                <w:szCs w:val="20"/>
              </w:rPr>
              <w:t xml:space="preserve"> </w:t>
            </w:r>
          </w:p>
          <w:p w14:paraId="7F99F11A" w14:textId="77777777" w:rsidR="00322D97" w:rsidRPr="00FF686A" w:rsidRDefault="00322D97" w:rsidP="0012329E">
            <w:pPr>
              <w:pStyle w:val="ListParagraph"/>
              <w:keepNext/>
              <w:keepLines/>
              <w:widowControl w:val="0"/>
              <w:suppressAutoHyphens w:val="0"/>
              <w:spacing w:after="0" w:line="276" w:lineRule="auto"/>
              <w:ind w:left="0"/>
              <w:jc w:val="center"/>
              <w:rPr>
                <w:rFonts w:eastAsia="Trebuchet MS" w:cs="Calibri"/>
                <w:szCs w:val="20"/>
              </w:rPr>
            </w:pPr>
          </w:p>
          <w:p w14:paraId="4FC37857" w14:textId="77777777" w:rsidR="00322D97" w:rsidRDefault="00322D97" w:rsidP="0012329E">
            <w:pPr>
              <w:pStyle w:val="ListParagraph"/>
              <w:keepNext/>
              <w:keepLines/>
              <w:widowControl w:val="0"/>
              <w:suppressAutoHyphens w:val="0"/>
              <w:spacing w:after="0" w:line="276" w:lineRule="auto"/>
              <w:ind w:left="0"/>
              <w:jc w:val="center"/>
              <w:rPr>
                <w:rFonts w:eastAsia="Trebuchet MS" w:cs="Calibri"/>
                <w:szCs w:val="20"/>
              </w:rPr>
            </w:pPr>
          </w:p>
          <w:p w14:paraId="18EC923A" w14:textId="77777777" w:rsidR="00322D97" w:rsidRPr="00FF686A" w:rsidRDefault="00322D97" w:rsidP="0012329E">
            <w:pPr>
              <w:pStyle w:val="ListParagraph"/>
              <w:keepNext/>
              <w:keepLines/>
              <w:widowControl w:val="0"/>
              <w:suppressAutoHyphens w:val="0"/>
              <w:spacing w:after="0" w:line="276" w:lineRule="auto"/>
              <w:ind w:left="0"/>
              <w:jc w:val="center"/>
              <w:rPr>
                <w:rFonts w:eastAsia="Trebuchet MS" w:cs="Calibri"/>
                <w:szCs w:val="20"/>
              </w:rPr>
            </w:pPr>
            <w:proofErr w:type="spellStart"/>
            <w:r w:rsidRPr="00FF686A">
              <w:rPr>
                <w:rFonts w:eastAsia="Trebuchet MS" w:cs="Calibri"/>
                <w:szCs w:val="20"/>
              </w:rPr>
              <w:t>Număr</w:t>
            </w:r>
            <w:proofErr w:type="spellEnd"/>
          </w:p>
          <w:p w14:paraId="46B26EC5" w14:textId="77777777" w:rsidR="00322D97" w:rsidRPr="00FF686A" w:rsidRDefault="00322D97" w:rsidP="0012329E">
            <w:pPr>
              <w:pStyle w:val="ListParagraph"/>
              <w:keepNext/>
              <w:keepLines/>
              <w:widowControl w:val="0"/>
              <w:suppressAutoHyphens w:val="0"/>
              <w:spacing w:after="0" w:line="276" w:lineRule="auto"/>
              <w:ind w:left="0"/>
              <w:jc w:val="center"/>
              <w:rPr>
                <w:rFonts w:eastAsia="Trebuchet MS" w:cs="Calibri"/>
                <w:szCs w:val="20"/>
              </w:rPr>
            </w:pPr>
          </w:p>
          <w:p w14:paraId="46506225" w14:textId="77777777" w:rsidR="00322D97" w:rsidRPr="00FF686A" w:rsidRDefault="00322D97" w:rsidP="0012329E">
            <w:pPr>
              <w:pStyle w:val="ListParagraph"/>
              <w:keepNext/>
              <w:keepLines/>
              <w:widowControl w:val="0"/>
              <w:suppressAutoHyphens w:val="0"/>
              <w:spacing w:after="0" w:line="276" w:lineRule="auto"/>
              <w:ind w:left="0"/>
              <w:jc w:val="center"/>
              <w:rPr>
                <w:rFonts w:eastAsia="Trebuchet MS" w:cs="Calibri"/>
                <w:szCs w:val="20"/>
              </w:rPr>
            </w:pPr>
            <w:proofErr w:type="spellStart"/>
            <w:r w:rsidRPr="00FF686A">
              <w:rPr>
                <w:rFonts w:eastAsia="Trebuchet MS" w:cs="Calibri"/>
                <w:szCs w:val="20"/>
              </w:rPr>
              <w:t>Număr</w:t>
            </w:r>
            <w:proofErr w:type="spellEnd"/>
          </w:p>
          <w:p w14:paraId="14D1F278" w14:textId="77777777" w:rsidR="00322D97" w:rsidRPr="00FF686A" w:rsidRDefault="00322D97" w:rsidP="0012329E">
            <w:pPr>
              <w:pStyle w:val="ListParagraph"/>
              <w:keepNext/>
              <w:keepLines/>
              <w:widowControl w:val="0"/>
              <w:suppressAutoHyphens w:val="0"/>
              <w:spacing w:after="0" w:line="276" w:lineRule="auto"/>
              <w:ind w:left="0"/>
              <w:jc w:val="center"/>
              <w:rPr>
                <w:rFonts w:eastAsia="Trebuchet MS" w:cs="Calibri"/>
                <w:szCs w:val="20"/>
              </w:rPr>
            </w:pPr>
          </w:p>
          <w:p w14:paraId="554FB4F1" w14:textId="77777777" w:rsidR="00322D97" w:rsidRDefault="00322D97" w:rsidP="0012329E">
            <w:pPr>
              <w:pStyle w:val="ListParagraph"/>
              <w:keepNext/>
              <w:keepLines/>
              <w:widowControl w:val="0"/>
              <w:suppressAutoHyphens w:val="0"/>
              <w:spacing w:after="0" w:line="276" w:lineRule="auto"/>
              <w:ind w:left="0"/>
              <w:jc w:val="center"/>
              <w:rPr>
                <w:rFonts w:eastAsia="Trebuchet MS" w:cs="Calibri"/>
                <w:szCs w:val="20"/>
              </w:rPr>
            </w:pPr>
          </w:p>
          <w:p w14:paraId="6DDD6919" w14:textId="77777777" w:rsidR="00322D97" w:rsidRDefault="00322D97" w:rsidP="0012329E">
            <w:pPr>
              <w:pStyle w:val="ListParagraph"/>
              <w:keepNext/>
              <w:keepLines/>
              <w:widowControl w:val="0"/>
              <w:suppressAutoHyphens w:val="0"/>
              <w:spacing w:after="0" w:line="276" w:lineRule="auto"/>
              <w:ind w:left="0"/>
              <w:jc w:val="center"/>
              <w:rPr>
                <w:rFonts w:eastAsia="Trebuchet MS" w:cs="Calibri"/>
                <w:szCs w:val="20"/>
              </w:rPr>
            </w:pPr>
          </w:p>
          <w:p w14:paraId="6215E555" w14:textId="77777777" w:rsidR="00322D97" w:rsidRDefault="00322D97" w:rsidP="0012329E">
            <w:pPr>
              <w:pStyle w:val="ListParagraph"/>
              <w:keepNext/>
              <w:keepLines/>
              <w:widowControl w:val="0"/>
              <w:suppressAutoHyphens w:val="0"/>
              <w:spacing w:after="0" w:line="276" w:lineRule="auto"/>
              <w:ind w:left="0"/>
              <w:jc w:val="center"/>
              <w:rPr>
                <w:rFonts w:eastAsia="Trebuchet MS" w:cs="Calibri"/>
                <w:szCs w:val="20"/>
              </w:rPr>
            </w:pPr>
          </w:p>
          <w:p w14:paraId="7D0BD474" w14:textId="77777777" w:rsidR="00322D97" w:rsidRPr="005402C9" w:rsidRDefault="00322D97" w:rsidP="0012329E">
            <w:pPr>
              <w:pStyle w:val="ListParagraph"/>
              <w:keepNext/>
              <w:keepLines/>
              <w:widowControl w:val="0"/>
              <w:suppressAutoHyphens w:val="0"/>
              <w:spacing w:after="0" w:line="276" w:lineRule="auto"/>
              <w:ind w:left="0"/>
              <w:jc w:val="center"/>
              <w:rPr>
                <w:bCs/>
              </w:rPr>
            </w:pPr>
            <w:proofErr w:type="spellStart"/>
            <w:r w:rsidRPr="00FF686A">
              <w:rPr>
                <w:rFonts w:eastAsia="Trebuchet MS" w:cs="Calibri"/>
                <w:szCs w:val="20"/>
              </w:rPr>
              <w:t>Număr</w:t>
            </w:r>
            <w:proofErr w:type="spellEnd"/>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14:paraId="49E25988" w14:textId="77777777" w:rsidR="00322D97" w:rsidRPr="005402C9" w:rsidRDefault="00322D97" w:rsidP="0012329E">
            <w:pPr>
              <w:pStyle w:val="ListParagraph"/>
              <w:keepNext/>
              <w:keepLines/>
              <w:widowControl w:val="0"/>
              <w:suppressAutoHyphens w:val="0"/>
              <w:spacing w:after="0" w:line="276" w:lineRule="auto"/>
              <w:ind w:left="0"/>
              <w:jc w:val="center"/>
              <w:rPr>
                <w:bCs/>
                <w:i/>
                <w:iCs/>
              </w:rPr>
            </w:pPr>
          </w:p>
        </w:tc>
      </w:tr>
    </w:tbl>
    <w:p w14:paraId="5276330A" w14:textId="77777777" w:rsidR="00322D97" w:rsidRPr="005402C9" w:rsidRDefault="00322D97" w:rsidP="00AB5FF3">
      <w:pPr>
        <w:spacing w:before="0" w:after="0" w:line="276" w:lineRule="auto"/>
        <w:jc w:val="both"/>
        <w:rPr>
          <w:sz w:val="22"/>
          <w:szCs w:val="22"/>
        </w:rPr>
      </w:pPr>
    </w:p>
    <w:p w14:paraId="6996B6DE" w14:textId="77777777" w:rsidR="00AA6A7B" w:rsidRPr="005402C9" w:rsidRDefault="00AA6A7B" w:rsidP="00AB5FF3">
      <w:pPr>
        <w:suppressAutoHyphens w:val="0"/>
        <w:spacing w:before="0" w:after="0" w:line="276" w:lineRule="auto"/>
        <w:jc w:val="both"/>
      </w:pPr>
    </w:p>
    <w:p w14:paraId="1F587415" w14:textId="4AA12427" w:rsidR="000905C2" w:rsidRPr="003A5591" w:rsidRDefault="005668FC" w:rsidP="005668FC">
      <w:pPr>
        <w:pStyle w:val="ListParagraph"/>
        <w:spacing w:line="276" w:lineRule="auto"/>
        <w:jc w:val="both"/>
        <w:rPr>
          <w:rFonts w:ascii="Trebuchet MS" w:hAnsi="Trebuchet MS"/>
          <w:sz w:val="20"/>
          <w:szCs w:val="20"/>
        </w:rPr>
      </w:pPr>
      <w:r w:rsidRPr="003A5591">
        <w:rPr>
          <w:rFonts w:ascii="Trebuchet MS" w:hAnsi="Trebuchet MS"/>
          <w:sz w:val="20"/>
          <w:szCs w:val="20"/>
        </w:rPr>
        <w:t>*</w:t>
      </w:r>
      <w:proofErr w:type="spellStart"/>
      <w:r w:rsidRPr="003A5591">
        <w:rPr>
          <w:rFonts w:ascii="Trebuchet MS" w:hAnsi="Trebuchet MS"/>
          <w:sz w:val="20"/>
          <w:szCs w:val="20"/>
        </w:rPr>
        <w:t>Valoarea</w:t>
      </w:r>
      <w:proofErr w:type="spellEnd"/>
      <w:r w:rsidRPr="003A5591">
        <w:rPr>
          <w:rFonts w:ascii="Trebuchet MS" w:hAnsi="Trebuchet MS"/>
          <w:sz w:val="20"/>
          <w:szCs w:val="20"/>
        </w:rPr>
        <w:t xml:space="preserve"> </w:t>
      </w:r>
      <w:proofErr w:type="spellStart"/>
      <w:r w:rsidRPr="003A5591">
        <w:rPr>
          <w:rFonts w:ascii="Trebuchet MS" w:hAnsi="Trebuchet MS"/>
          <w:sz w:val="20"/>
          <w:szCs w:val="20"/>
        </w:rPr>
        <w:t>țintă</w:t>
      </w:r>
      <w:proofErr w:type="spellEnd"/>
      <w:r w:rsidRPr="003A5591">
        <w:rPr>
          <w:rFonts w:ascii="Trebuchet MS" w:hAnsi="Trebuchet MS"/>
          <w:sz w:val="20"/>
          <w:szCs w:val="20"/>
        </w:rPr>
        <w:t xml:space="preserve"> </w:t>
      </w:r>
      <w:proofErr w:type="spellStart"/>
      <w:r w:rsidRPr="003A5591">
        <w:rPr>
          <w:rFonts w:ascii="Trebuchet MS" w:hAnsi="Trebuchet MS"/>
          <w:sz w:val="20"/>
          <w:szCs w:val="20"/>
        </w:rPr>
        <w:t>este</w:t>
      </w:r>
      <w:proofErr w:type="spellEnd"/>
      <w:r w:rsidRPr="003A5591">
        <w:rPr>
          <w:rFonts w:ascii="Trebuchet MS" w:hAnsi="Trebuchet MS"/>
          <w:sz w:val="20"/>
          <w:szCs w:val="20"/>
        </w:rPr>
        <w:t xml:space="preserve"> minim 1.</w:t>
      </w:r>
    </w:p>
    <w:p w14:paraId="0864271E" w14:textId="3C35DE91" w:rsidR="000F4A21" w:rsidRPr="003A5591" w:rsidRDefault="000F4A21" w:rsidP="005668FC">
      <w:pPr>
        <w:pStyle w:val="ListParagraph"/>
        <w:spacing w:line="276" w:lineRule="auto"/>
        <w:jc w:val="both"/>
        <w:rPr>
          <w:rFonts w:ascii="Trebuchet MS" w:hAnsi="Trebuchet MS"/>
          <w:sz w:val="20"/>
          <w:szCs w:val="20"/>
        </w:rPr>
      </w:pPr>
      <w:r w:rsidRPr="00A02DAB">
        <w:rPr>
          <w:rFonts w:ascii="Trebuchet MS" w:hAnsi="Trebuchet MS"/>
          <w:sz w:val="20"/>
          <w:szCs w:val="20"/>
        </w:rPr>
        <w:lastRenderedPageBreak/>
        <w:t xml:space="preserve">** </w:t>
      </w:r>
      <w:r w:rsidRPr="00A02DAB">
        <w:rPr>
          <w:rFonts w:ascii="Trebuchet MS" w:hAnsi="Trebuchet MS" w:cs="Calibri"/>
          <w:sz w:val="20"/>
          <w:szCs w:val="20"/>
        </w:rPr>
        <w:t xml:space="preserve">Doar </w:t>
      </w:r>
      <w:proofErr w:type="spellStart"/>
      <w:r w:rsidRPr="00A02DAB">
        <w:rPr>
          <w:rFonts w:ascii="Trebuchet MS" w:hAnsi="Trebuchet MS" w:cs="Calibri"/>
          <w:sz w:val="20"/>
          <w:szCs w:val="20"/>
        </w:rPr>
        <w:t>pentru</w:t>
      </w:r>
      <w:proofErr w:type="spellEnd"/>
      <w:r w:rsidRPr="00A02DAB">
        <w:rPr>
          <w:rFonts w:ascii="Trebuchet MS" w:hAnsi="Trebuchet MS" w:cs="Calibri"/>
          <w:sz w:val="20"/>
          <w:szCs w:val="20"/>
        </w:rPr>
        <w:t xml:space="preserve"> </w:t>
      </w:r>
      <w:proofErr w:type="spellStart"/>
      <w:r w:rsidRPr="00A02DAB">
        <w:rPr>
          <w:rFonts w:ascii="Trebuchet MS" w:hAnsi="Trebuchet MS" w:cs="Calibri"/>
          <w:sz w:val="20"/>
          <w:szCs w:val="20"/>
        </w:rPr>
        <w:t>universități</w:t>
      </w:r>
      <w:proofErr w:type="spellEnd"/>
      <w:r w:rsidRPr="00A02DAB">
        <w:rPr>
          <w:rFonts w:ascii="Trebuchet MS" w:hAnsi="Trebuchet MS" w:cs="Calibri"/>
          <w:sz w:val="20"/>
          <w:szCs w:val="20"/>
        </w:rPr>
        <w:t xml:space="preserve">, </w:t>
      </w:r>
      <w:proofErr w:type="spellStart"/>
      <w:r w:rsidRPr="00A02DAB">
        <w:rPr>
          <w:rFonts w:ascii="Trebuchet MS" w:hAnsi="Trebuchet MS" w:cs="Calibri"/>
          <w:sz w:val="20"/>
          <w:szCs w:val="20"/>
        </w:rPr>
        <w:t>instituții</w:t>
      </w:r>
      <w:proofErr w:type="spellEnd"/>
      <w:r w:rsidRPr="00A02DAB">
        <w:rPr>
          <w:rFonts w:ascii="Trebuchet MS" w:hAnsi="Trebuchet MS" w:cs="Calibri"/>
          <w:sz w:val="20"/>
          <w:szCs w:val="20"/>
        </w:rPr>
        <w:t xml:space="preserve"> de </w:t>
      </w:r>
      <w:proofErr w:type="spellStart"/>
      <w:r w:rsidRPr="00A02DAB">
        <w:rPr>
          <w:rFonts w:ascii="Trebuchet MS" w:hAnsi="Trebuchet MS" w:cs="Calibri"/>
          <w:sz w:val="20"/>
          <w:szCs w:val="20"/>
        </w:rPr>
        <w:t>învățământ</w:t>
      </w:r>
      <w:proofErr w:type="spellEnd"/>
      <w:r w:rsidRPr="00A02DAB">
        <w:rPr>
          <w:rFonts w:ascii="Trebuchet MS" w:hAnsi="Trebuchet MS" w:cs="Calibri"/>
          <w:sz w:val="20"/>
          <w:szCs w:val="20"/>
        </w:rPr>
        <w:t xml:space="preserve"> superior de stat</w:t>
      </w:r>
    </w:p>
    <w:tbl>
      <w:tblPr>
        <w:tblStyle w:val="TableGrid"/>
        <w:tblW w:w="0" w:type="auto"/>
        <w:tblInd w:w="625" w:type="dxa"/>
        <w:tblBorders>
          <w:top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7"/>
      </w:tblGrid>
      <w:tr w:rsidR="000905C2" w:rsidRPr="005402C9" w14:paraId="6B6D82B6" w14:textId="77777777" w:rsidTr="000905C2">
        <w:tc>
          <w:tcPr>
            <w:tcW w:w="9017" w:type="dxa"/>
          </w:tcPr>
          <w:p w14:paraId="633C7321" w14:textId="77777777" w:rsidR="000905C2" w:rsidRPr="005402C9" w:rsidRDefault="000905C2" w:rsidP="000905C2">
            <w:pPr>
              <w:suppressAutoHyphens w:val="0"/>
              <w:spacing w:line="276" w:lineRule="auto"/>
              <w:jc w:val="both"/>
              <w:rPr>
                <w:rFonts w:ascii="Trebuchet MS" w:hAnsi="Trebuchet MS"/>
                <w:b/>
                <w:lang w:val="ro-RO"/>
              </w:rPr>
            </w:pPr>
            <w:r w:rsidRPr="005402C9">
              <w:rPr>
                <w:rFonts w:ascii="Trebuchet MS" w:hAnsi="Trebuchet MS"/>
                <w:b/>
                <w:lang w:val="ro-RO"/>
              </w:rPr>
              <w:t xml:space="preserve">NOTĂ: </w:t>
            </w:r>
          </w:p>
          <w:p w14:paraId="2119B24D" w14:textId="77777777" w:rsidR="000905C2" w:rsidRPr="005402C9" w:rsidRDefault="000905C2" w:rsidP="000905C2">
            <w:pPr>
              <w:spacing w:line="276" w:lineRule="auto"/>
              <w:jc w:val="both"/>
              <w:rPr>
                <w:rFonts w:ascii="Trebuchet MS" w:hAnsi="Trebuchet MS"/>
                <w:lang w:val="ro-RO"/>
              </w:rPr>
            </w:pPr>
            <w:r w:rsidRPr="005402C9">
              <w:rPr>
                <w:rFonts w:ascii="Trebuchet MS" w:hAnsi="Trebuchet MS"/>
                <w:lang w:val="ro-RO"/>
              </w:rPr>
              <w:t xml:space="preserve">Valoarea țintă va fi asumată de beneficiar. </w:t>
            </w:r>
            <w:r w:rsidRPr="00A02DAB">
              <w:rPr>
                <w:rFonts w:ascii="Trebuchet MS" w:hAnsi="Trebuchet MS"/>
                <w:lang w:val="ro-RO"/>
              </w:rPr>
              <w:t>În situaţia în care subproiectul nu realizează integral indicatorii asumaţi prin contract, finanţarea nerambursabilă acordată va fi redusă proporţional, cu excepţia cazurilor temeinic justificate.</w:t>
            </w:r>
          </w:p>
          <w:p w14:paraId="28CAFE64" w14:textId="77777777" w:rsidR="000905C2" w:rsidRPr="005402C9" w:rsidRDefault="000905C2" w:rsidP="000905C2">
            <w:pPr>
              <w:spacing w:line="276" w:lineRule="auto"/>
              <w:jc w:val="both"/>
              <w:rPr>
                <w:rFonts w:ascii="Trebuchet MS" w:hAnsi="Trebuchet MS"/>
                <w:lang w:val="ro-RO"/>
              </w:rPr>
            </w:pPr>
            <w:r w:rsidRPr="005402C9">
              <w:rPr>
                <w:rFonts w:ascii="Trebuchet MS" w:hAnsi="Trebuchet MS"/>
                <w:lang w:val="ro-RO"/>
              </w:rPr>
              <w:t>Indicatorii prestabiliți de realizare sunt indicatorii care reflectă îndeplinirea obiectivelor PNRR, iar indicatorii suplimentari de realizare se referă la indicatorii specifici ai proiectului</w:t>
            </w:r>
            <w:r w:rsidR="00D83E06" w:rsidRPr="005402C9">
              <w:rPr>
                <w:rFonts w:ascii="Trebuchet MS" w:hAnsi="Trebuchet MS"/>
                <w:lang w:val="ro-RO"/>
              </w:rPr>
              <w:t xml:space="preserve">, măsurați la finalul perioadei de implementare. </w:t>
            </w:r>
          </w:p>
          <w:p w14:paraId="70DD0DF6" w14:textId="7D18C87A" w:rsidR="00D83E06" w:rsidRPr="005402C9" w:rsidRDefault="00D83E06" w:rsidP="000905C2">
            <w:pPr>
              <w:spacing w:line="276" w:lineRule="auto"/>
              <w:jc w:val="both"/>
              <w:rPr>
                <w:rFonts w:ascii="Trebuchet MS" w:hAnsi="Trebuchet MS"/>
                <w:lang w:val="ro-RO"/>
              </w:rPr>
            </w:pPr>
            <w:r w:rsidRPr="005402C9">
              <w:rPr>
                <w:rFonts w:ascii="Trebuchet MS" w:hAnsi="Trebuchet MS"/>
                <w:lang w:val="ro-RO"/>
              </w:rPr>
              <w:t>Indicatorii suplimentari de rezultat se referă la indicatorii specifici ai proiectului măsurați în perioada de sustenabilitate.</w:t>
            </w:r>
          </w:p>
        </w:tc>
      </w:tr>
    </w:tbl>
    <w:p w14:paraId="225EBA0C" w14:textId="4FBF779E" w:rsidR="00C373AD" w:rsidRPr="00652E85" w:rsidRDefault="00AD2D71" w:rsidP="00C373AD">
      <w:pPr>
        <w:spacing w:line="276" w:lineRule="auto"/>
        <w:jc w:val="both"/>
        <w:rPr>
          <w:sz w:val="22"/>
          <w:szCs w:val="22"/>
        </w:rPr>
      </w:pPr>
      <w:r w:rsidRPr="005402C9">
        <w:rPr>
          <w:bCs/>
          <w:sz w:val="22"/>
          <w:szCs w:val="22"/>
        </w:rPr>
        <w:t>Apelul de proiecte vizează și indicatorii comuni conform Regulamentului delegat (UE) 2021/2106</w:t>
      </w:r>
      <w:r w:rsidR="00C373AD">
        <w:rPr>
          <w:bCs/>
          <w:sz w:val="22"/>
          <w:szCs w:val="22"/>
        </w:rPr>
        <w:t xml:space="preserve">. </w:t>
      </w:r>
      <w:r w:rsidR="00C373AD" w:rsidRPr="009D6579">
        <w:rPr>
          <w:bCs/>
          <w:sz w:val="22"/>
          <w:szCs w:val="22"/>
        </w:rPr>
        <w:t xml:space="preserve">Solicitanții vor </w:t>
      </w:r>
      <w:r w:rsidR="00C373AD" w:rsidRPr="009D6579">
        <w:rPr>
          <w:sz w:val="22"/>
          <w:szCs w:val="22"/>
        </w:rPr>
        <w:t>estima datele aferente acestor indicatori prin completarea datelor prevăzute la Anexa 6 la</w:t>
      </w:r>
      <w:r w:rsidR="00C373AD">
        <w:rPr>
          <w:sz w:val="22"/>
          <w:szCs w:val="22"/>
        </w:rPr>
        <w:t xml:space="preserve"> prezentul Ghid. </w:t>
      </w:r>
    </w:p>
    <w:p w14:paraId="31BC5964" w14:textId="2714107D" w:rsidR="00AD2D71" w:rsidRPr="005402C9" w:rsidRDefault="00AD2D71" w:rsidP="00C373AD">
      <w:pPr>
        <w:suppressAutoHyphens w:val="0"/>
        <w:spacing w:line="276" w:lineRule="auto"/>
        <w:jc w:val="both"/>
        <w:rPr>
          <w:sz w:val="22"/>
          <w:szCs w:val="22"/>
        </w:rPr>
      </w:pPr>
    </w:p>
    <w:p w14:paraId="7FC9093A" w14:textId="2EB87C33" w:rsidR="00BA6EB7" w:rsidRPr="005402C9" w:rsidRDefault="00BA6EB7" w:rsidP="0013489D">
      <w:pPr>
        <w:pStyle w:val="Heading3"/>
        <w:rPr>
          <w:b w:val="0"/>
          <w:bCs/>
          <w:sz w:val="22"/>
          <w:szCs w:val="22"/>
        </w:rPr>
      </w:pPr>
      <w:bookmarkStart w:id="20" w:name="_Toc150159454"/>
      <w:r w:rsidRPr="005402C9">
        <w:rPr>
          <w:bCs/>
          <w:sz w:val="22"/>
          <w:szCs w:val="22"/>
        </w:rPr>
        <w:t xml:space="preserve">1.2.7 Obiectivele </w:t>
      </w:r>
      <w:r w:rsidR="00D01F53" w:rsidRPr="005402C9">
        <w:rPr>
          <w:bCs/>
          <w:sz w:val="22"/>
          <w:szCs w:val="22"/>
        </w:rPr>
        <w:t>sub</w:t>
      </w:r>
      <w:r w:rsidRPr="005402C9">
        <w:rPr>
          <w:bCs/>
          <w:sz w:val="22"/>
          <w:szCs w:val="22"/>
        </w:rPr>
        <w:t>proiectului</w:t>
      </w:r>
      <w:bookmarkEnd w:id="20"/>
    </w:p>
    <w:p w14:paraId="5E677AB4" w14:textId="77777777" w:rsidR="00D01F53" w:rsidRPr="005402C9" w:rsidRDefault="00D01F53" w:rsidP="0013489D">
      <w:pPr>
        <w:spacing w:before="0" w:after="60" w:line="276" w:lineRule="auto"/>
        <w:jc w:val="both"/>
        <w:rPr>
          <w:sz w:val="22"/>
          <w:szCs w:val="22"/>
        </w:rPr>
      </w:pPr>
    </w:p>
    <w:p w14:paraId="4BF4DAF5" w14:textId="1E0B4A0F" w:rsidR="00BA6EB7" w:rsidRPr="005402C9" w:rsidRDefault="00D01F53" w:rsidP="0013489D">
      <w:pPr>
        <w:spacing w:before="0" w:after="60" w:line="276" w:lineRule="auto"/>
        <w:jc w:val="both"/>
        <w:rPr>
          <w:b/>
          <w:bCs/>
          <w:sz w:val="22"/>
          <w:szCs w:val="22"/>
        </w:rPr>
      </w:pPr>
      <w:r w:rsidRPr="005402C9">
        <w:rPr>
          <w:sz w:val="22"/>
          <w:szCs w:val="22"/>
        </w:rPr>
        <w:t>Un s</w:t>
      </w:r>
      <w:r w:rsidR="00BA6EB7" w:rsidRPr="005402C9">
        <w:rPr>
          <w:sz w:val="22"/>
          <w:szCs w:val="22"/>
        </w:rPr>
        <w:t xml:space="preserve">ubproiect trebuie să contribuie la obiectivul proiectului participantului direct </w:t>
      </w:r>
      <w:r w:rsidR="00A66B3C" w:rsidRPr="005402C9">
        <w:rPr>
          <w:sz w:val="22"/>
          <w:szCs w:val="22"/>
        </w:rPr>
        <w:t xml:space="preserve">cu care colaborează, </w:t>
      </w:r>
      <w:r w:rsidR="00BA6EB7" w:rsidRPr="005402C9">
        <w:rPr>
          <w:sz w:val="22"/>
          <w:szCs w:val="22"/>
        </w:rPr>
        <w:t>prin activități de cercetare</w:t>
      </w:r>
      <w:r w:rsidR="00A66B3C" w:rsidRPr="005402C9">
        <w:rPr>
          <w:sz w:val="22"/>
          <w:szCs w:val="22"/>
        </w:rPr>
        <w:t xml:space="preserve"> și</w:t>
      </w:r>
      <w:r w:rsidR="00BA6EB7" w:rsidRPr="005402C9">
        <w:rPr>
          <w:sz w:val="22"/>
          <w:szCs w:val="22"/>
        </w:rPr>
        <w:t xml:space="preserve"> dezvoltare, </w:t>
      </w:r>
      <w:r w:rsidR="00A66B3C" w:rsidRPr="005402C9">
        <w:rPr>
          <w:sz w:val="22"/>
          <w:szCs w:val="22"/>
        </w:rPr>
        <w:t>cu</w:t>
      </w:r>
      <w:r w:rsidR="00BA6EB7" w:rsidRPr="005402C9">
        <w:rPr>
          <w:sz w:val="22"/>
          <w:szCs w:val="22"/>
        </w:rPr>
        <w:t xml:space="preserve"> caracter inovator major</w:t>
      </w:r>
      <w:r w:rsidR="00A66B3C" w:rsidRPr="005402C9">
        <w:rPr>
          <w:sz w:val="22"/>
          <w:szCs w:val="22"/>
        </w:rPr>
        <w:t xml:space="preserve"> sau care</w:t>
      </w:r>
      <w:r w:rsidR="00BA6EB7" w:rsidRPr="005402C9">
        <w:rPr>
          <w:sz w:val="22"/>
          <w:szCs w:val="22"/>
        </w:rPr>
        <w:t xml:space="preserve"> generează valoare adăugată semnificativă în materie de cercetare, dezvoltare și inovare, ținând cont de stadiul atins de tehnologie în sectorul </w:t>
      </w:r>
      <w:r w:rsidR="00A66B3C" w:rsidRPr="005402C9">
        <w:rPr>
          <w:sz w:val="22"/>
          <w:szCs w:val="22"/>
        </w:rPr>
        <w:t>microelectronicii și tehnologiei comunicațiilor.</w:t>
      </w:r>
    </w:p>
    <w:p w14:paraId="05FD5FAE" w14:textId="77777777" w:rsidR="00BA6EB7" w:rsidRPr="005402C9" w:rsidRDefault="00BA6EB7" w:rsidP="00AB5FF3">
      <w:pPr>
        <w:spacing w:line="276" w:lineRule="auto"/>
        <w:jc w:val="both"/>
        <w:rPr>
          <w:sz w:val="22"/>
          <w:szCs w:val="22"/>
        </w:rPr>
      </w:pPr>
    </w:p>
    <w:p w14:paraId="43FE3C3B" w14:textId="2E553E5D" w:rsidR="008620EF" w:rsidRPr="005402C9" w:rsidRDefault="003573EB" w:rsidP="004742E9">
      <w:pPr>
        <w:pStyle w:val="Heading1"/>
        <w:spacing w:after="0"/>
      </w:pPr>
      <w:bookmarkStart w:id="21" w:name="_1t3h5sf"/>
      <w:bookmarkStart w:id="22" w:name="_Toc150159455"/>
      <w:bookmarkEnd w:id="21"/>
      <w:r w:rsidRPr="005402C9">
        <w:t xml:space="preserve">2. </w:t>
      </w:r>
      <w:r w:rsidR="002B7118" w:rsidRPr="005402C9">
        <w:t>AJUTOR DE STAT</w:t>
      </w:r>
      <w:bookmarkEnd w:id="22"/>
      <w:r w:rsidR="002B7118" w:rsidRPr="005402C9">
        <w:t xml:space="preserve"> </w:t>
      </w:r>
    </w:p>
    <w:p w14:paraId="5FA50AE5" w14:textId="77777777" w:rsidR="004742E9" w:rsidRPr="005402C9" w:rsidRDefault="004742E9" w:rsidP="00E7526B">
      <w:pPr>
        <w:spacing w:before="0" w:after="60" w:line="276" w:lineRule="auto"/>
        <w:jc w:val="both"/>
        <w:rPr>
          <w:sz w:val="22"/>
          <w:szCs w:val="22"/>
        </w:rPr>
      </w:pPr>
    </w:p>
    <w:p w14:paraId="5B20FEDB" w14:textId="7F64F8AD" w:rsidR="00AB34C8" w:rsidRPr="005402C9" w:rsidRDefault="00D1537C" w:rsidP="00E7526B">
      <w:pPr>
        <w:spacing w:before="0" w:after="60" w:line="276" w:lineRule="auto"/>
        <w:jc w:val="both"/>
        <w:rPr>
          <w:sz w:val="22"/>
          <w:szCs w:val="22"/>
        </w:rPr>
      </w:pPr>
      <w:r w:rsidRPr="005402C9">
        <w:rPr>
          <w:sz w:val="22"/>
          <w:szCs w:val="22"/>
        </w:rPr>
        <w:t xml:space="preserve">Ajutoarele </w:t>
      </w:r>
      <w:r w:rsidR="00E950E7" w:rsidRPr="005402C9">
        <w:rPr>
          <w:sz w:val="22"/>
          <w:szCs w:val="22"/>
        </w:rPr>
        <w:t xml:space="preserve">de stat </w:t>
      </w:r>
      <w:r w:rsidRPr="005402C9">
        <w:rPr>
          <w:sz w:val="22"/>
          <w:szCs w:val="22"/>
        </w:rPr>
        <w:t xml:space="preserve">vor fi </w:t>
      </w:r>
      <w:r w:rsidR="00E950E7" w:rsidRPr="005402C9">
        <w:rPr>
          <w:sz w:val="22"/>
          <w:szCs w:val="22"/>
        </w:rPr>
        <w:t xml:space="preserve">acordate </w:t>
      </w:r>
      <w:r w:rsidR="001344B9" w:rsidRPr="005402C9">
        <w:rPr>
          <w:sz w:val="22"/>
          <w:szCs w:val="22"/>
        </w:rPr>
        <w:t>în cadrul prezentului apel de proiecte</w:t>
      </w:r>
      <w:r w:rsidRPr="005402C9">
        <w:rPr>
          <w:sz w:val="22"/>
          <w:szCs w:val="22"/>
        </w:rPr>
        <w:t xml:space="preserve"> cu respectarea prevederilor Regulamentului (UE) 651/2014 al Comisiei din 17 iunie 2014 </w:t>
      </w:r>
      <w:bookmarkStart w:id="23" w:name="_Hlk126677004"/>
      <w:r w:rsidRPr="005402C9">
        <w:rPr>
          <w:sz w:val="22"/>
          <w:szCs w:val="22"/>
        </w:rPr>
        <w:t xml:space="preserve">de declarare a anumitor categorii de ajutoare compatibile cu piața internă în aplicarea articolelor 107 și 108 din </w:t>
      </w:r>
      <w:r w:rsidR="00E7526B" w:rsidRPr="005402C9">
        <w:rPr>
          <w:sz w:val="22"/>
          <w:szCs w:val="22"/>
        </w:rPr>
        <w:t>Tratat</w:t>
      </w:r>
      <w:r w:rsidR="00474CEA" w:rsidRPr="005402C9">
        <w:rPr>
          <w:sz w:val="22"/>
          <w:szCs w:val="22"/>
        </w:rPr>
        <w:t xml:space="preserve">, </w:t>
      </w:r>
      <w:r w:rsidR="00E7702F" w:rsidRPr="005402C9">
        <w:rPr>
          <w:sz w:val="22"/>
          <w:szCs w:val="22"/>
        </w:rPr>
        <w:t xml:space="preserve">cu modificările și completările ulterioare, </w:t>
      </w:r>
      <w:r w:rsidR="00474CEA" w:rsidRPr="005402C9">
        <w:rPr>
          <w:sz w:val="22"/>
          <w:szCs w:val="22"/>
        </w:rPr>
        <w:t>denumit în continuare Regulamentul</w:t>
      </w:r>
      <w:r w:rsidR="00E7526B" w:rsidRPr="005402C9">
        <w:rPr>
          <w:sz w:val="22"/>
          <w:szCs w:val="22"/>
        </w:rPr>
        <w:t xml:space="preserve"> (UE) nr.</w:t>
      </w:r>
      <w:r w:rsidR="00474CEA" w:rsidRPr="005402C9">
        <w:rPr>
          <w:sz w:val="22"/>
          <w:szCs w:val="22"/>
        </w:rPr>
        <w:t xml:space="preserve"> </w:t>
      </w:r>
      <w:r w:rsidR="00E7526B" w:rsidRPr="005402C9">
        <w:rPr>
          <w:sz w:val="22"/>
          <w:szCs w:val="22"/>
        </w:rPr>
        <w:t>651/2014, în special prevederile art. 25 privind ajutoarele pentru proiecte de cercetare și dezvoltare</w:t>
      </w:r>
      <w:r w:rsidR="00473858" w:rsidRPr="005402C9">
        <w:rPr>
          <w:sz w:val="22"/>
          <w:szCs w:val="22"/>
        </w:rPr>
        <w:t>.</w:t>
      </w:r>
    </w:p>
    <w:p w14:paraId="5EB01CCC" w14:textId="7DBBDB4C" w:rsidR="00E7526B" w:rsidRPr="005402C9" w:rsidRDefault="00E7526B" w:rsidP="00E7526B">
      <w:pPr>
        <w:spacing w:before="0" w:after="60" w:line="276" w:lineRule="auto"/>
        <w:jc w:val="both"/>
        <w:rPr>
          <w:sz w:val="22"/>
          <w:szCs w:val="22"/>
        </w:rPr>
      </w:pPr>
      <w:r w:rsidRPr="005402C9">
        <w:rPr>
          <w:sz w:val="22"/>
          <w:szCs w:val="22"/>
        </w:rPr>
        <w:t xml:space="preserve">În baza Regulamentului (UE) nr. 651/2014, </w:t>
      </w:r>
      <w:r w:rsidR="002D6AF3" w:rsidRPr="005402C9">
        <w:rPr>
          <w:sz w:val="22"/>
          <w:szCs w:val="22"/>
        </w:rPr>
        <w:t>ajutorul de stat acordat în cadrul prezentului apel</w:t>
      </w:r>
      <w:r w:rsidRPr="005402C9">
        <w:rPr>
          <w:sz w:val="22"/>
          <w:szCs w:val="22"/>
        </w:rPr>
        <w:t xml:space="preserve"> nu se aplică: </w:t>
      </w:r>
    </w:p>
    <w:p w14:paraId="254D951A" w14:textId="55DE6F59" w:rsidR="00E7526B" w:rsidRPr="005402C9" w:rsidRDefault="00E7526B">
      <w:pPr>
        <w:pStyle w:val="ListParagraph"/>
        <w:numPr>
          <w:ilvl w:val="0"/>
          <w:numId w:val="11"/>
        </w:numPr>
        <w:spacing w:after="60" w:line="276" w:lineRule="auto"/>
        <w:jc w:val="both"/>
        <w:rPr>
          <w:rFonts w:ascii="Trebuchet MS" w:hAnsi="Trebuchet MS"/>
          <w:lang w:val="ro-RO"/>
        </w:rPr>
      </w:pPr>
      <w:r w:rsidRPr="005402C9">
        <w:rPr>
          <w:rFonts w:ascii="Trebuchet MS" w:hAnsi="Trebuchet MS"/>
          <w:lang w:val="ro-RO"/>
        </w:rPr>
        <w:t>sectorul</w:t>
      </w:r>
      <w:r w:rsidR="002D6AF3" w:rsidRPr="005402C9">
        <w:rPr>
          <w:rFonts w:ascii="Trebuchet MS" w:hAnsi="Trebuchet MS"/>
          <w:lang w:val="ro-RO"/>
        </w:rPr>
        <w:t>ui</w:t>
      </w:r>
      <w:r w:rsidRPr="005402C9">
        <w:rPr>
          <w:rFonts w:ascii="Trebuchet MS" w:hAnsi="Trebuchet MS"/>
          <w:lang w:val="ro-RO"/>
        </w:rPr>
        <w:t xml:space="preserve"> pescuitului și acvaculturii, care intră în domeniul de aplicare al Regulamentului (UE) nr. 1379/2013 al Parlamentului European și al Consiliului; </w:t>
      </w:r>
    </w:p>
    <w:p w14:paraId="2C5DDBDD" w14:textId="5381BB2B" w:rsidR="00E7526B" w:rsidRPr="005402C9" w:rsidRDefault="00E7526B">
      <w:pPr>
        <w:pStyle w:val="ListParagraph"/>
        <w:numPr>
          <w:ilvl w:val="0"/>
          <w:numId w:val="11"/>
        </w:numPr>
        <w:spacing w:after="60" w:line="276" w:lineRule="auto"/>
        <w:jc w:val="both"/>
        <w:rPr>
          <w:rFonts w:ascii="Trebuchet MS" w:hAnsi="Trebuchet MS"/>
          <w:lang w:val="ro-RO"/>
        </w:rPr>
      </w:pPr>
      <w:r w:rsidRPr="005402C9">
        <w:rPr>
          <w:rFonts w:ascii="Trebuchet MS" w:hAnsi="Trebuchet MS"/>
          <w:lang w:val="ro-RO"/>
        </w:rPr>
        <w:t>sectorul</w:t>
      </w:r>
      <w:r w:rsidR="002D6AF3" w:rsidRPr="005402C9">
        <w:rPr>
          <w:rFonts w:ascii="Trebuchet MS" w:hAnsi="Trebuchet MS"/>
          <w:lang w:val="ro-RO"/>
        </w:rPr>
        <w:t>ui</w:t>
      </w:r>
      <w:r w:rsidRPr="005402C9">
        <w:rPr>
          <w:rFonts w:ascii="Trebuchet MS" w:hAnsi="Trebuchet MS"/>
          <w:lang w:val="ro-RO"/>
        </w:rPr>
        <w:t xml:space="preserve"> producției agricole primare.</w:t>
      </w:r>
    </w:p>
    <w:p w14:paraId="27C889D3" w14:textId="7A84A9CB" w:rsidR="00E7526B" w:rsidRPr="005402C9" w:rsidRDefault="00E7526B">
      <w:pPr>
        <w:pStyle w:val="ListParagraph"/>
        <w:numPr>
          <w:ilvl w:val="0"/>
          <w:numId w:val="11"/>
        </w:numPr>
        <w:spacing w:after="60" w:line="276" w:lineRule="auto"/>
        <w:jc w:val="both"/>
        <w:rPr>
          <w:rFonts w:ascii="Trebuchet MS" w:hAnsi="Trebuchet MS"/>
          <w:lang w:val="ro-RO"/>
        </w:rPr>
      </w:pPr>
      <w:r w:rsidRPr="005402C9">
        <w:rPr>
          <w:rFonts w:ascii="Trebuchet MS" w:hAnsi="Trebuchet MS"/>
          <w:lang w:val="ro-RO"/>
        </w:rPr>
        <w:t>sectorul</w:t>
      </w:r>
      <w:r w:rsidR="002D6AF3" w:rsidRPr="005402C9">
        <w:rPr>
          <w:rFonts w:ascii="Trebuchet MS" w:hAnsi="Trebuchet MS"/>
          <w:lang w:val="ro-RO"/>
        </w:rPr>
        <w:t>ui</w:t>
      </w:r>
      <w:r w:rsidRPr="005402C9">
        <w:rPr>
          <w:rFonts w:ascii="Trebuchet MS" w:hAnsi="Trebuchet MS"/>
          <w:lang w:val="ro-RO"/>
        </w:rPr>
        <w:t xml:space="preserve"> prelucrării și comercializării produselor agricole, în următoarele cazuri:</w:t>
      </w:r>
    </w:p>
    <w:p w14:paraId="535C23A4" w14:textId="0072993B" w:rsidR="00E7526B" w:rsidRPr="005402C9" w:rsidRDefault="00E7526B">
      <w:pPr>
        <w:pStyle w:val="ListParagraph"/>
        <w:numPr>
          <w:ilvl w:val="2"/>
          <w:numId w:val="11"/>
        </w:numPr>
        <w:spacing w:after="60" w:line="276" w:lineRule="auto"/>
        <w:ind w:left="1350"/>
        <w:jc w:val="both"/>
        <w:rPr>
          <w:rFonts w:ascii="Trebuchet MS" w:hAnsi="Trebuchet MS"/>
          <w:lang w:val="ro-RO"/>
        </w:rPr>
      </w:pPr>
      <w:r w:rsidRPr="005402C9">
        <w:rPr>
          <w:rFonts w:ascii="Trebuchet MS" w:hAnsi="Trebuchet MS"/>
          <w:lang w:val="ro-RO"/>
        </w:rPr>
        <w:t>atunci când valoarea ajutoarelor este stabilită pe baza prețului sau a cantității unor astfel de produse achiziționate de la producători primari sau introduse pe piață de întreprinderile respective;</w:t>
      </w:r>
    </w:p>
    <w:p w14:paraId="10D02911" w14:textId="4F1A3BD0" w:rsidR="00E7526B" w:rsidRPr="005402C9" w:rsidRDefault="00E7526B">
      <w:pPr>
        <w:pStyle w:val="ListParagraph"/>
        <w:numPr>
          <w:ilvl w:val="2"/>
          <w:numId w:val="11"/>
        </w:numPr>
        <w:spacing w:after="60" w:line="276" w:lineRule="auto"/>
        <w:ind w:left="1350"/>
        <w:jc w:val="both"/>
        <w:rPr>
          <w:rFonts w:ascii="Trebuchet MS" w:hAnsi="Trebuchet MS"/>
          <w:lang w:val="ro-RO"/>
        </w:rPr>
      </w:pPr>
      <w:r w:rsidRPr="005402C9">
        <w:rPr>
          <w:rFonts w:ascii="Trebuchet MS" w:hAnsi="Trebuchet MS"/>
          <w:lang w:val="ro-RO"/>
        </w:rPr>
        <w:t>atunci când ajutoarele sunt condiționate de transferarea lor parțială sau integrală către producătorii primari;</w:t>
      </w:r>
    </w:p>
    <w:p w14:paraId="1CC42687" w14:textId="6468DDC9" w:rsidR="00E7526B" w:rsidRPr="005402C9" w:rsidRDefault="00E7526B">
      <w:pPr>
        <w:pStyle w:val="ListParagraph"/>
        <w:numPr>
          <w:ilvl w:val="0"/>
          <w:numId w:val="11"/>
        </w:numPr>
        <w:spacing w:after="60" w:line="276" w:lineRule="auto"/>
        <w:jc w:val="both"/>
        <w:rPr>
          <w:rFonts w:ascii="Trebuchet MS" w:hAnsi="Trebuchet MS"/>
          <w:lang w:val="ro-RO"/>
        </w:rPr>
      </w:pPr>
      <w:r w:rsidRPr="005402C9">
        <w:rPr>
          <w:rFonts w:ascii="Trebuchet MS" w:hAnsi="Trebuchet MS"/>
          <w:lang w:val="ro-RO"/>
        </w:rPr>
        <w:t>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C06C91C" w14:textId="65F3A704" w:rsidR="00E7526B" w:rsidRPr="005402C9" w:rsidRDefault="00E7526B">
      <w:pPr>
        <w:pStyle w:val="ListParagraph"/>
        <w:numPr>
          <w:ilvl w:val="0"/>
          <w:numId w:val="11"/>
        </w:numPr>
        <w:spacing w:after="60" w:line="276" w:lineRule="auto"/>
        <w:jc w:val="both"/>
        <w:rPr>
          <w:rFonts w:ascii="Trebuchet MS" w:hAnsi="Trebuchet MS"/>
          <w:lang w:val="ro-RO"/>
        </w:rPr>
      </w:pPr>
      <w:r w:rsidRPr="005402C9">
        <w:rPr>
          <w:rFonts w:ascii="Trebuchet MS" w:hAnsi="Trebuchet MS"/>
          <w:lang w:val="ro-RO"/>
        </w:rPr>
        <w:lastRenderedPageBreak/>
        <w:t>ajutoarelor condiționate de utilizarea preferențială a produselor naționale față de produsele importate.</w:t>
      </w:r>
    </w:p>
    <w:p w14:paraId="6968DF90" w14:textId="522766BE" w:rsidR="00E7526B" w:rsidRPr="005402C9" w:rsidRDefault="00E7526B">
      <w:pPr>
        <w:pStyle w:val="ListParagraph"/>
        <w:numPr>
          <w:ilvl w:val="0"/>
          <w:numId w:val="11"/>
        </w:numPr>
        <w:spacing w:after="60" w:line="276" w:lineRule="auto"/>
        <w:jc w:val="both"/>
        <w:rPr>
          <w:rFonts w:ascii="Trebuchet MS" w:hAnsi="Trebuchet MS"/>
          <w:lang w:val="ro-RO"/>
        </w:rPr>
      </w:pPr>
      <w:r w:rsidRPr="005402C9">
        <w:rPr>
          <w:rFonts w:ascii="Trebuchet MS" w:hAnsi="Trebuchet MS"/>
          <w:lang w:val="ro-RO"/>
        </w:rPr>
        <w:t>facilit</w:t>
      </w:r>
      <w:r w:rsidR="002D6AF3" w:rsidRPr="005402C9">
        <w:rPr>
          <w:rFonts w:ascii="Trebuchet MS" w:hAnsi="Trebuchet MS"/>
          <w:lang w:val="ro-RO"/>
        </w:rPr>
        <w:t>ării</w:t>
      </w:r>
      <w:r w:rsidRPr="005402C9">
        <w:rPr>
          <w:rFonts w:ascii="Trebuchet MS" w:hAnsi="Trebuchet MS"/>
          <w:lang w:val="ro-RO"/>
        </w:rPr>
        <w:t xml:space="preserve"> închiderii minelor de cărbune necompetitive, astfel cum sunt reglementate de Decizia 2010/787/UE a Consiliului.</w:t>
      </w:r>
    </w:p>
    <w:p w14:paraId="1A607018" w14:textId="77777777" w:rsidR="004742E9" w:rsidRPr="005402C9" w:rsidRDefault="004742E9" w:rsidP="00AB5FF3">
      <w:pPr>
        <w:spacing w:before="0" w:line="276" w:lineRule="auto"/>
        <w:jc w:val="both"/>
        <w:rPr>
          <w:sz w:val="22"/>
          <w:szCs w:val="22"/>
        </w:rPr>
      </w:pPr>
      <w:bookmarkStart w:id="24" w:name="_2s8eyo1"/>
      <w:bookmarkStart w:id="25" w:name="_17dp8vu"/>
      <w:bookmarkStart w:id="26" w:name="_3rdcrjn"/>
      <w:bookmarkStart w:id="27" w:name="_26in1rg"/>
      <w:bookmarkStart w:id="28" w:name="_lnxbz9"/>
      <w:bookmarkStart w:id="29" w:name="_35nkun2"/>
      <w:bookmarkStart w:id="30" w:name="_1ksv4uv"/>
      <w:bookmarkStart w:id="31" w:name="_44sinio"/>
      <w:bookmarkStart w:id="32" w:name="_2jxsxqh"/>
      <w:bookmarkEnd w:id="23"/>
      <w:bookmarkEnd w:id="24"/>
      <w:bookmarkEnd w:id="25"/>
      <w:bookmarkEnd w:id="26"/>
      <w:bookmarkEnd w:id="27"/>
      <w:bookmarkEnd w:id="28"/>
      <w:bookmarkEnd w:id="29"/>
      <w:bookmarkEnd w:id="30"/>
      <w:bookmarkEnd w:id="31"/>
      <w:bookmarkEnd w:id="32"/>
    </w:p>
    <w:p w14:paraId="532E81A8" w14:textId="762A4CAF" w:rsidR="004742E9" w:rsidRPr="005402C9" w:rsidRDefault="004742E9" w:rsidP="00AB5FF3">
      <w:pPr>
        <w:spacing w:before="0" w:line="276" w:lineRule="auto"/>
        <w:jc w:val="both"/>
        <w:rPr>
          <w:sz w:val="22"/>
          <w:szCs w:val="22"/>
        </w:rPr>
      </w:pPr>
      <w:r w:rsidRPr="005402C9">
        <w:rPr>
          <w:sz w:val="22"/>
          <w:szCs w:val="22"/>
        </w:rPr>
        <w:t>Valoarea asistenței financiare nerambursabile, solicitată de un participant indirect pentru un subproiect, va respecta următoarele condiții cumulative:</w:t>
      </w:r>
    </w:p>
    <w:p w14:paraId="50E8BBDD" w14:textId="2AC4D5B9" w:rsidR="004742E9" w:rsidRPr="005402C9" w:rsidRDefault="004742E9">
      <w:pPr>
        <w:pStyle w:val="ListParagraph"/>
        <w:numPr>
          <w:ilvl w:val="0"/>
          <w:numId w:val="24"/>
        </w:numPr>
        <w:spacing w:line="276" w:lineRule="auto"/>
        <w:jc w:val="both"/>
        <w:rPr>
          <w:rFonts w:ascii="Trebuchet MS" w:hAnsi="Trebuchet MS"/>
        </w:rPr>
      </w:pPr>
      <w:r w:rsidRPr="005402C9">
        <w:rPr>
          <w:rFonts w:ascii="Trebuchet MS" w:hAnsi="Trebuchet MS"/>
        </w:rPr>
        <w:t xml:space="preserve">nu </w:t>
      </w:r>
      <w:proofErr w:type="spellStart"/>
      <w:r w:rsidRPr="005402C9">
        <w:rPr>
          <w:rFonts w:ascii="Trebuchet MS" w:hAnsi="Trebuchet MS"/>
        </w:rPr>
        <w:t>va</w:t>
      </w:r>
      <w:proofErr w:type="spellEnd"/>
      <w:r w:rsidRPr="005402C9">
        <w:rPr>
          <w:rFonts w:ascii="Trebuchet MS" w:hAnsi="Trebuchet MS"/>
        </w:rPr>
        <w:t xml:space="preserve"> </w:t>
      </w:r>
      <w:proofErr w:type="spellStart"/>
      <w:r w:rsidRPr="005402C9">
        <w:rPr>
          <w:rFonts w:ascii="Trebuchet MS" w:hAnsi="Trebuchet MS"/>
        </w:rPr>
        <w:t>depăși</w:t>
      </w:r>
      <w:proofErr w:type="spellEnd"/>
      <w:r w:rsidRPr="005402C9">
        <w:rPr>
          <w:rFonts w:ascii="Trebuchet MS" w:hAnsi="Trebuchet MS"/>
        </w:rPr>
        <w:t xml:space="preserve"> </w:t>
      </w:r>
      <w:proofErr w:type="spellStart"/>
      <w:r w:rsidRPr="005402C9">
        <w:rPr>
          <w:rFonts w:ascii="Trebuchet MS" w:hAnsi="Trebuchet MS"/>
        </w:rPr>
        <w:t>valoarea</w:t>
      </w:r>
      <w:proofErr w:type="spellEnd"/>
      <w:r w:rsidRPr="005402C9">
        <w:rPr>
          <w:rFonts w:ascii="Trebuchet MS" w:hAnsi="Trebuchet MS"/>
        </w:rPr>
        <w:t xml:space="preserve"> </w:t>
      </w:r>
      <w:proofErr w:type="spellStart"/>
      <w:r w:rsidRPr="005402C9">
        <w:rPr>
          <w:rFonts w:ascii="Trebuchet MS" w:hAnsi="Trebuchet MS"/>
        </w:rPr>
        <w:t>estimată</w:t>
      </w:r>
      <w:proofErr w:type="spellEnd"/>
      <w:r w:rsidRPr="005402C9">
        <w:rPr>
          <w:rFonts w:ascii="Trebuchet MS" w:hAnsi="Trebuchet MS"/>
        </w:rPr>
        <w:t xml:space="preserve"> </w:t>
      </w:r>
      <w:r w:rsidR="00576F4F" w:rsidRPr="005402C9">
        <w:rPr>
          <w:rFonts w:ascii="Trebuchet MS" w:hAnsi="Trebuchet MS"/>
        </w:rPr>
        <w:t xml:space="preserve">a </w:t>
      </w:r>
      <w:proofErr w:type="spellStart"/>
      <w:r w:rsidR="00576F4F" w:rsidRPr="005402C9">
        <w:rPr>
          <w:rFonts w:ascii="Trebuchet MS" w:hAnsi="Trebuchet MS"/>
        </w:rPr>
        <w:t>subproiectului</w:t>
      </w:r>
      <w:proofErr w:type="spellEnd"/>
      <w:r w:rsidR="00576F4F" w:rsidRPr="005402C9">
        <w:rPr>
          <w:rFonts w:ascii="Trebuchet MS" w:hAnsi="Trebuchet MS"/>
        </w:rPr>
        <w:t xml:space="preserve">, </w:t>
      </w:r>
      <w:proofErr w:type="spellStart"/>
      <w:r w:rsidR="00576F4F" w:rsidRPr="005402C9">
        <w:rPr>
          <w:rFonts w:ascii="Trebuchet MS" w:hAnsi="Trebuchet MS"/>
        </w:rPr>
        <w:t>propusă</w:t>
      </w:r>
      <w:proofErr w:type="spellEnd"/>
      <w:r w:rsidR="00576F4F" w:rsidRPr="005402C9">
        <w:rPr>
          <w:rFonts w:ascii="Trebuchet MS" w:hAnsi="Trebuchet MS"/>
        </w:rPr>
        <w:t xml:space="preserve"> </w:t>
      </w:r>
      <w:proofErr w:type="spellStart"/>
      <w:r w:rsidR="001A49CA" w:rsidRPr="005402C9">
        <w:rPr>
          <w:rFonts w:ascii="Trebuchet MS" w:hAnsi="Trebuchet MS"/>
        </w:rPr>
        <w:t>în</w:t>
      </w:r>
      <w:proofErr w:type="spellEnd"/>
      <w:r w:rsidR="001A49CA" w:rsidRPr="005402C9">
        <w:rPr>
          <w:rFonts w:ascii="Trebuchet MS" w:hAnsi="Trebuchet MS"/>
        </w:rPr>
        <w:t xml:space="preserve"> </w:t>
      </w:r>
      <w:proofErr w:type="spellStart"/>
      <w:r w:rsidR="001A49CA" w:rsidRPr="005402C9">
        <w:rPr>
          <w:rFonts w:ascii="Trebuchet MS" w:hAnsi="Trebuchet MS"/>
        </w:rPr>
        <w:t>etapa</w:t>
      </w:r>
      <w:proofErr w:type="spellEnd"/>
      <w:r w:rsidR="001A49CA" w:rsidRPr="005402C9">
        <w:rPr>
          <w:rFonts w:ascii="Trebuchet MS" w:hAnsi="Trebuchet MS"/>
        </w:rPr>
        <w:t xml:space="preserve"> de pre-</w:t>
      </w:r>
      <w:proofErr w:type="spellStart"/>
      <w:r w:rsidR="001A49CA" w:rsidRPr="005402C9">
        <w:rPr>
          <w:rFonts w:ascii="Trebuchet MS" w:hAnsi="Trebuchet MS"/>
        </w:rPr>
        <w:t>selecție</w:t>
      </w:r>
      <w:proofErr w:type="spellEnd"/>
      <w:r w:rsidR="001A49CA" w:rsidRPr="005402C9">
        <w:rPr>
          <w:rFonts w:ascii="Trebuchet MS" w:hAnsi="Trebuchet MS"/>
        </w:rPr>
        <w:t xml:space="preserve"> </w:t>
      </w:r>
      <w:proofErr w:type="spellStart"/>
      <w:r w:rsidR="001A49CA" w:rsidRPr="005402C9">
        <w:rPr>
          <w:rFonts w:ascii="Trebuchet MS" w:hAnsi="Trebuchet MS"/>
        </w:rPr>
        <w:t>realizată</w:t>
      </w:r>
      <w:proofErr w:type="spellEnd"/>
      <w:r w:rsidR="001A49CA" w:rsidRPr="005402C9">
        <w:rPr>
          <w:rFonts w:ascii="Trebuchet MS" w:hAnsi="Trebuchet MS"/>
        </w:rPr>
        <w:t xml:space="preserve"> </w:t>
      </w:r>
      <w:proofErr w:type="spellStart"/>
      <w:r w:rsidR="001A49CA" w:rsidRPr="005402C9">
        <w:rPr>
          <w:rFonts w:ascii="Trebuchet MS" w:hAnsi="Trebuchet MS"/>
        </w:rPr>
        <w:t>potrivit</w:t>
      </w:r>
      <w:proofErr w:type="spellEnd"/>
      <w:r w:rsidR="001A49CA" w:rsidRPr="005402C9">
        <w:rPr>
          <w:rFonts w:ascii="Trebuchet MS" w:hAnsi="Trebuchet MS"/>
        </w:rPr>
        <w:t xml:space="preserve"> </w:t>
      </w:r>
      <w:proofErr w:type="spellStart"/>
      <w:r w:rsidR="001A49CA" w:rsidRPr="005402C9">
        <w:rPr>
          <w:rFonts w:ascii="Trebuchet MS" w:hAnsi="Trebuchet MS"/>
        </w:rPr>
        <w:t>prevederilor</w:t>
      </w:r>
      <w:proofErr w:type="spellEnd"/>
      <w:r w:rsidR="001A49CA" w:rsidRPr="005402C9">
        <w:rPr>
          <w:rFonts w:ascii="Trebuchet MS" w:hAnsi="Trebuchet MS"/>
        </w:rPr>
        <w:t xml:space="preserve"> OME nr. 99/2022</w:t>
      </w:r>
      <w:r w:rsidRPr="005402C9">
        <w:rPr>
          <w:rFonts w:ascii="Trebuchet MS" w:hAnsi="Trebuchet MS"/>
        </w:rPr>
        <w:t>;</w:t>
      </w:r>
    </w:p>
    <w:p w14:paraId="49C1EF8D" w14:textId="3A4FA6A4" w:rsidR="008619B3" w:rsidRPr="005402C9" w:rsidRDefault="004742E9">
      <w:pPr>
        <w:pStyle w:val="ListParagraph"/>
        <w:numPr>
          <w:ilvl w:val="0"/>
          <w:numId w:val="24"/>
        </w:numPr>
        <w:spacing w:line="276" w:lineRule="auto"/>
        <w:jc w:val="both"/>
        <w:rPr>
          <w:rFonts w:ascii="Trebuchet MS" w:hAnsi="Trebuchet MS"/>
        </w:rPr>
      </w:pPr>
      <w:r w:rsidRPr="005402C9">
        <w:rPr>
          <w:rFonts w:ascii="Trebuchet MS" w:hAnsi="Trebuchet MS"/>
        </w:rPr>
        <w:t xml:space="preserve">se </w:t>
      </w:r>
      <w:proofErr w:type="spellStart"/>
      <w:r w:rsidRPr="005402C9">
        <w:rPr>
          <w:rFonts w:ascii="Trebuchet MS" w:hAnsi="Trebuchet MS"/>
        </w:rPr>
        <w:t>încadrează</w:t>
      </w:r>
      <w:proofErr w:type="spellEnd"/>
      <w:r w:rsidRPr="005402C9">
        <w:rPr>
          <w:rFonts w:ascii="Trebuchet MS" w:hAnsi="Trebuchet MS"/>
        </w:rPr>
        <w:t xml:space="preserve"> </w:t>
      </w:r>
      <w:proofErr w:type="spellStart"/>
      <w:r w:rsidRPr="005402C9">
        <w:rPr>
          <w:rFonts w:ascii="Trebuchet MS" w:hAnsi="Trebuchet MS"/>
        </w:rPr>
        <w:t>în</w:t>
      </w:r>
      <w:proofErr w:type="spellEnd"/>
      <w:r w:rsidRPr="005402C9">
        <w:rPr>
          <w:rFonts w:ascii="Trebuchet MS" w:hAnsi="Trebuchet MS"/>
        </w:rPr>
        <w:t xml:space="preserve"> </w:t>
      </w:r>
      <w:proofErr w:type="spellStart"/>
      <w:r w:rsidRPr="005402C9">
        <w:rPr>
          <w:rFonts w:ascii="Trebuchet MS" w:hAnsi="Trebuchet MS"/>
        </w:rPr>
        <w:t>limitele</w:t>
      </w:r>
      <w:proofErr w:type="spellEnd"/>
      <w:r w:rsidRPr="005402C9">
        <w:rPr>
          <w:rFonts w:ascii="Trebuchet MS" w:hAnsi="Trebuchet MS"/>
        </w:rPr>
        <w:t xml:space="preserve"> </w:t>
      </w:r>
      <w:proofErr w:type="spellStart"/>
      <w:r w:rsidRPr="005402C9">
        <w:rPr>
          <w:rFonts w:ascii="Trebuchet MS" w:hAnsi="Trebuchet MS"/>
        </w:rPr>
        <w:t>maxime</w:t>
      </w:r>
      <w:proofErr w:type="spellEnd"/>
      <w:r w:rsidRPr="005402C9">
        <w:rPr>
          <w:rFonts w:ascii="Trebuchet MS" w:hAnsi="Trebuchet MS"/>
        </w:rPr>
        <w:t xml:space="preserve"> </w:t>
      </w:r>
      <w:proofErr w:type="spellStart"/>
      <w:r w:rsidRPr="005402C9">
        <w:rPr>
          <w:rFonts w:ascii="Trebuchet MS" w:hAnsi="Trebuchet MS"/>
        </w:rPr>
        <w:t>prevăzute</w:t>
      </w:r>
      <w:proofErr w:type="spellEnd"/>
      <w:r w:rsidRPr="005402C9">
        <w:rPr>
          <w:rFonts w:ascii="Trebuchet MS" w:hAnsi="Trebuchet MS"/>
        </w:rPr>
        <w:t xml:space="preserve"> la art. 4 din </w:t>
      </w:r>
      <w:proofErr w:type="spellStart"/>
      <w:r w:rsidRPr="005402C9">
        <w:rPr>
          <w:rFonts w:ascii="Trebuchet MS" w:hAnsi="Trebuchet MS"/>
        </w:rPr>
        <w:t>Regulamentul</w:t>
      </w:r>
      <w:proofErr w:type="spellEnd"/>
      <w:r w:rsidRPr="005402C9">
        <w:rPr>
          <w:rFonts w:ascii="Trebuchet MS" w:hAnsi="Trebuchet MS"/>
        </w:rPr>
        <w:t xml:space="preserve"> (UE) nr. 651/2014</w:t>
      </w:r>
      <w:r w:rsidR="00BD423D" w:rsidRPr="005402C9">
        <w:rPr>
          <w:rFonts w:ascii="Trebuchet MS" w:hAnsi="Trebuchet MS"/>
        </w:rPr>
        <w:t>,</w:t>
      </w:r>
      <w:r w:rsidR="00C73E56" w:rsidRPr="005402C9">
        <w:rPr>
          <w:rFonts w:ascii="Trebuchet MS" w:hAnsi="Trebuchet MS"/>
        </w:rPr>
        <w:t xml:space="preserve"> </w:t>
      </w:r>
      <w:proofErr w:type="spellStart"/>
      <w:r w:rsidR="008619B3" w:rsidRPr="005402C9">
        <w:rPr>
          <w:rFonts w:ascii="Trebuchet MS" w:hAnsi="Trebuchet MS"/>
        </w:rPr>
        <w:t>după</w:t>
      </w:r>
      <w:proofErr w:type="spellEnd"/>
      <w:r w:rsidR="008619B3" w:rsidRPr="005402C9">
        <w:rPr>
          <w:rFonts w:ascii="Trebuchet MS" w:hAnsi="Trebuchet MS"/>
        </w:rPr>
        <w:t xml:space="preserve"> cum </w:t>
      </w:r>
      <w:proofErr w:type="spellStart"/>
      <w:r w:rsidR="008619B3" w:rsidRPr="005402C9">
        <w:rPr>
          <w:rFonts w:ascii="Trebuchet MS" w:hAnsi="Trebuchet MS"/>
        </w:rPr>
        <w:t>urmează</w:t>
      </w:r>
      <w:proofErr w:type="spellEnd"/>
      <w:r w:rsidR="008619B3" w:rsidRPr="005402C9">
        <w:rPr>
          <w:rFonts w:ascii="Trebuchet MS" w:hAnsi="Trebuchet MS"/>
        </w:rPr>
        <w:t>:</w:t>
      </w:r>
    </w:p>
    <w:p w14:paraId="1A46EB6B" w14:textId="22A7C13E" w:rsidR="008619B3" w:rsidRPr="005402C9" w:rsidRDefault="008619B3">
      <w:pPr>
        <w:pStyle w:val="ListParagraph"/>
        <w:numPr>
          <w:ilvl w:val="0"/>
          <w:numId w:val="25"/>
        </w:numPr>
        <w:spacing w:line="276" w:lineRule="auto"/>
        <w:jc w:val="both"/>
        <w:rPr>
          <w:rFonts w:ascii="Trebuchet MS" w:hAnsi="Trebuchet MS"/>
          <w:lang w:val="ro-RO"/>
        </w:rPr>
      </w:pPr>
      <w:r w:rsidRPr="005402C9">
        <w:rPr>
          <w:rFonts w:ascii="Trebuchet MS" w:hAnsi="Trebuchet MS"/>
          <w:lang w:val="ro-RO"/>
        </w:rPr>
        <w:t>55 milioane EUR per beneficiar pentru un subproiect, dacă subproiectul constă în principal în cercetare fundamentală; în acest caz peste jumătate din costurile eligibile ale subproiectului apar ca urmare a unor activităţi care intră în categoria cercetare fundamentală;</w:t>
      </w:r>
    </w:p>
    <w:p w14:paraId="2DC22D8E" w14:textId="4B63C92A" w:rsidR="008619B3" w:rsidRPr="005402C9" w:rsidRDefault="008619B3">
      <w:pPr>
        <w:pStyle w:val="ListParagraph"/>
        <w:numPr>
          <w:ilvl w:val="0"/>
          <w:numId w:val="25"/>
        </w:numPr>
        <w:spacing w:line="276" w:lineRule="auto"/>
        <w:jc w:val="both"/>
        <w:rPr>
          <w:rFonts w:ascii="Trebuchet MS" w:hAnsi="Trebuchet MS"/>
          <w:lang w:val="ro-RO"/>
        </w:rPr>
      </w:pPr>
      <w:r w:rsidRPr="005402C9">
        <w:rPr>
          <w:rFonts w:ascii="Trebuchet MS" w:hAnsi="Trebuchet MS"/>
          <w:lang w:val="ro-RO"/>
        </w:rPr>
        <w:t>35 milioane EUR per beneficiar pentru un subproiect, dacă subproiectul constă în principal în cercetare industrială; în acest caz peste jumătate din costurile eligibile ale subproiectului apar ca urmare a unor activităţi care intră în categoria cercetare industrială sau în ambele categorii — cercetare fundamentală și industrială;</w:t>
      </w:r>
    </w:p>
    <w:p w14:paraId="0D5A7795" w14:textId="54C775A5" w:rsidR="008619B3" w:rsidRPr="005402C9" w:rsidRDefault="008619B3">
      <w:pPr>
        <w:pStyle w:val="ListParagraph"/>
        <w:numPr>
          <w:ilvl w:val="0"/>
          <w:numId w:val="25"/>
        </w:numPr>
        <w:spacing w:line="276" w:lineRule="auto"/>
        <w:jc w:val="both"/>
        <w:rPr>
          <w:rFonts w:ascii="Trebuchet MS" w:hAnsi="Trebuchet MS"/>
          <w:lang w:val="ro-RO"/>
        </w:rPr>
      </w:pPr>
      <w:r w:rsidRPr="005402C9">
        <w:rPr>
          <w:rFonts w:ascii="Trebuchet MS" w:hAnsi="Trebuchet MS"/>
          <w:lang w:val="ro-RO"/>
        </w:rPr>
        <w:t>25 milioane EUR per întreprindere pentru un subproiect dacă subproiectul constă în principal în dezvoltare experimentală; în acest caz peste jumătate din costurile eligibile ale subproiectului apar ca urmare a unor activităţi care intră în categoria dezvoltare experimentală;</w:t>
      </w:r>
    </w:p>
    <w:p w14:paraId="68CE7414" w14:textId="1B025BC4" w:rsidR="008619B3" w:rsidRPr="005402C9" w:rsidRDefault="008619B3">
      <w:pPr>
        <w:pStyle w:val="ListParagraph"/>
        <w:numPr>
          <w:ilvl w:val="0"/>
          <w:numId w:val="25"/>
        </w:numPr>
        <w:spacing w:line="276" w:lineRule="auto"/>
        <w:jc w:val="both"/>
        <w:rPr>
          <w:rFonts w:ascii="Trebuchet MS" w:hAnsi="Trebuchet MS"/>
          <w:lang w:val="ro-RO"/>
        </w:rPr>
      </w:pPr>
      <w:r w:rsidRPr="005402C9">
        <w:rPr>
          <w:rFonts w:ascii="Trebuchet MS" w:hAnsi="Trebuchet MS"/>
          <w:lang w:val="ro-RO"/>
        </w:rPr>
        <w:t>8,25 milioane EUR per studiu pentru studiile de fezabilitate necesare în vederea pregătirii activităţilor de cercetare.</w:t>
      </w:r>
    </w:p>
    <w:p w14:paraId="6AFA70E5" w14:textId="73FE006E" w:rsidR="00277167" w:rsidRPr="005402C9" w:rsidRDefault="008619B3" w:rsidP="00AB5FF3">
      <w:pPr>
        <w:spacing w:before="0" w:line="276" w:lineRule="auto"/>
        <w:jc w:val="both"/>
        <w:rPr>
          <w:sz w:val="22"/>
          <w:szCs w:val="22"/>
        </w:rPr>
      </w:pPr>
      <w:r w:rsidRPr="005402C9">
        <w:rPr>
          <w:sz w:val="22"/>
          <w:szCs w:val="22"/>
        </w:rPr>
        <w:t>Totodată, solicitantul se va asigura de r</w:t>
      </w:r>
      <w:r w:rsidR="00277167" w:rsidRPr="005402C9">
        <w:rPr>
          <w:sz w:val="22"/>
          <w:szCs w:val="22"/>
        </w:rPr>
        <w:t xml:space="preserve">espectarea intensității ajutorului </w:t>
      </w:r>
      <w:r w:rsidRPr="005402C9">
        <w:rPr>
          <w:sz w:val="22"/>
          <w:szCs w:val="22"/>
        </w:rPr>
        <w:t>de stat</w:t>
      </w:r>
      <w:r w:rsidR="00C73E56" w:rsidRPr="005402C9">
        <w:rPr>
          <w:sz w:val="22"/>
          <w:szCs w:val="22"/>
        </w:rPr>
        <w:t xml:space="preserve"> aplicabil</w:t>
      </w:r>
      <w:r w:rsidR="004835C3" w:rsidRPr="005402C9">
        <w:rPr>
          <w:sz w:val="22"/>
          <w:szCs w:val="22"/>
        </w:rPr>
        <w:t>ă</w:t>
      </w:r>
      <w:r w:rsidR="00C73E56" w:rsidRPr="005402C9">
        <w:rPr>
          <w:sz w:val="22"/>
          <w:szCs w:val="22"/>
        </w:rPr>
        <w:t xml:space="preserve"> costurilor eligibile din cadrul unui proiect,</w:t>
      </w:r>
      <w:r w:rsidR="007E642A" w:rsidRPr="005402C9">
        <w:rPr>
          <w:sz w:val="22"/>
          <w:szCs w:val="22"/>
        </w:rPr>
        <w:t xml:space="preserve"> în conformitate cu art. 25 din Regulamentul </w:t>
      </w:r>
      <w:r w:rsidR="00A51681" w:rsidRPr="005402C9">
        <w:rPr>
          <w:sz w:val="22"/>
          <w:szCs w:val="22"/>
        </w:rPr>
        <w:t>(UE) nr. 651/2014, d</w:t>
      </w:r>
      <w:r w:rsidR="00C73E56" w:rsidRPr="005402C9">
        <w:rPr>
          <w:sz w:val="22"/>
          <w:szCs w:val="22"/>
        </w:rPr>
        <w:t>upă cum urmează</w:t>
      </w:r>
      <w:r w:rsidR="00277167" w:rsidRPr="005402C9">
        <w:rPr>
          <w:sz w:val="22"/>
          <w:szCs w:val="22"/>
        </w:rPr>
        <w:t>:</w:t>
      </w:r>
    </w:p>
    <w:p w14:paraId="24C9E61F" w14:textId="63E525E3" w:rsidR="00277167" w:rsidRPr="005402C9" w:rsidRDefault="00277167">
      <w:pPr>
        <w:pStyle w:val="ListParagraph"/>
        <w:numPr>
          <w:ilvl w:val="0"/>
          <w:numId w:val="13"/>
        </w:numPr>
        <w:spacing w:line="276" w:lineRule="auto"/>
        <w:jc w:val="both"/>
        <w:rPr>
          <w:rFonts w:ascii="Trebuchet MS" w:hAnsi="Trebuchet MS"/>
          <w:lang w:val="ro-RO"/>
        </w:rPr>
      </w:pPr>
      <w:r w:rsidRPr="005402C9">
        <w:rPr>
          <w:rFonts w:ascii="Trebuchet MS" w:hAnsi="Trebuchet MS"/>
          <w:lang w:val="ro-RO"/>
        </w:rPr>
        <w:t>100 % din costurile eligibile pentru cercetarea fundamentală;</w:t>
      </w:r>
    </w:p>
    <w:p w14:paraId="708E0083" w14:textId="72A47D07" w:rsidR="00277167" w:rsidRPr="005402C9" w:rsidRDefault="00B4029C">
      <w:pPr>
        <w:pStyle w:val="ListParagraph"/>
        <w:numPr>
          <w:ilvl w:val="0"/>
          <w:numId w:val="13"/>
        </w:numPr>
        <w:spacing w:line="276" w:lineRule="auto"/>
        <w:jc w:val="both"/>
        <w:rPr>
          <w:rFonts w:ascii="Trebuchet MS" w:hAnsi="Trebuchet MS"/>
          <w:lang w:val="ro-RO"/>
        </w:rPr>
      </w:pPr>
      <w:r w:rsidRPr="005402C9">
        <w:rPr>
          <w:rFonts w:ascii="Trebuchet MS" w:hAnsi="Trebuchet MS"/>
          <w:lang w:val="ro-RO"/>
        </w:rPr>
        <w:t>65</w:t>
      </w:r>
      <w:r w:rsidR="00277167" w:rsidRPr="005402C9">
        <w:rPr>
          <w:rFonts w:ascii="Trebuchet MS" w:hAnsi="Trebuchet MS"/>
          <w:lang w:val="ro-RO"/>
        </w:rPr>
        <w:t xml:space="preserve"> % din costurile eligibile pentru cercetarea industrială;</w:t>
      </w:r>
    </w:p>
    <w:p w14:paraId="59822D26" w14:textId="77777777" w:rsidR="00B4029C" w:rsidRPr="005402C9" w:rsidRDefault="00B4029C">
      <w:pPr>
        <w:pStyle w:val="ListParagraph"/>
        <w:numPr>
          <w:ilvl w:val="0"/>
          <w:numId w:val="13"/>
        </w:numPr>
        <w:spacing w:line="276" w:lineRule="auto"/>
        <w:jc w:val="both"/>
        <w:rPr>
          <w:rFonts w:ascii="Trebuchet MS" w:hAnsi="Trebuchet MS"/>
          <w:lang w:val="ro-RO"/>
        </w:rPr>
      </w:pPr>
      <w:r w:rsidRPr="005402C9">
        <w:rPr>
          <w:rFonts w:ascii="Trebuchet MS" w:hAnsi="Trebuchet MS"/>
          <w:lang w:val="ro-RO"/>
        </w:rPr>
        <w:t>40</w:t>
      </w:r>
      <w:r w:rsidR="00277167" w:rsidRPr="005402C9">
        <w:rPr>
          <w:rFonts w:ascii="Trebuchet MS" w:hAnsi="Trebuchet MS"/>
          <w:lang w:val="ro-RO"/>
        </w:rPr>
        <w:t xml:space="preserve"> % din costurile eligibile pentru dezvoltarea experimentală;</w:t>
      </w:r>
    </w:p>
    <w:p w14:paraId="2349D32F" w14:textId="3CF33698" w:rsidR="00C524C6" w:rsidRPr="005402C9" w:rsidRDefault="00277167">
      <w:pPr>
        <w:pStyle w:val="ListParagraph"/>
        <w:numPr>
          <w:ilvl w:val="0"/>
          <w:numId w:val="13"/>
        </w:numPr>
        <w:spacing w:line="276" w:lineRule="auto"/>
        <w:jc w:val="both"/>
        <w:rPr>
          <w:rFonts w:ascii="Trebuchet MS" w:hAnsi="Trebuchet MS"/>
          <w:lang w:val="ro-RO"/>
        </w:rPr>
      </w:pPr>
      <w:r w:rsidRPr="005402C9">
        <w:rPr>
          <w:rFonts w:ascii="Trebuchet MS" w:hAnsi="Trebuchet MS"/>
          <w:lang w:val="ro-RO"/>
        </w:rPr>
        <w:t>50 % din costurile eligibile pentru studiile de fezabilitate</w:t>
      </w:r>
      <w:r w:rsidR="000A598F" w:rsidRPr="005402C9">
        <w:rPr>
          <w:rFonts w:ascii="Trebuchet MS" w:hAnsi="Trebuchet MS"/>
          <w:lang w:val="ro-RO"/>
        </w:rPr>
        <w:t>.</w:t>
      </w:r>
    </w:p>
    <w:p w14:paraId="6745AEF9" w14:textId="136FD2D0" w:rsidR="00E860DC" w:rsidRPr="005402C9" w:rsidRDefault="00E860DC" w:rsidP="00B0089D">
      <w:pPr>
        <w:spacing w:line="276" w:lineRule="auto"/>
        <w:jc w:val="both"/>
        <w:rPr>
          <w:b/>
          <w:bCs/>
          <w:sz w:val="22"/>
          <w:szCs w:val="22"/>
        </w:rPr>
      </w:pPr>
      <w:r w:rsidRPr="005402C9">
        <w:rPr>
          <w:sz w:val="22"/>
          <w:szCs w:val="22"/>
        </w:rPr>
        <w:t>Intensităţile ajutorului pentru cercetarea industrială și</w:t>
      </w:r>
      <w:r w:rsidR="00701DDF">
        <w:rPr>
          <w:sz w:val="22"/>
          <w:szCs w:val="22"/>
        </w:rPr>
        <w:t xml:space="preserve"> pentru</w:t>
      </w:r>
      <w:r w:rsidRPr="005402C9">
        <w:rPr>
          <w:sz w:val="22"/>
          <w:szCs w:val="22"/>
        </w:rPr>
        <w:t xml:space="preserve"> dezvoltarea experimentală </w:t>
      </w:r>
      <w:r w:rsidR="00B0089D" w:rsidRPr="005402C9">
        <w:rPr>
          <w:sz w:val="22"/>
          <w:szCs w:val="22"/>
        </w:rPr>
        <w:t>(</w:t>
      </w:r>
      <w:r w:rsidRPr="005402C9">
        <w:rPr>
          <w:sz w:val="22"/>
          <w:szCs w:val="22"/>
        </w:rPr>
        <w:t>lit. ii. și iii.</w:t>
      </w:r>
      <w:r w:rsidR="00B0089D" w:rsidRPr="005402C9">
        <w:rPr>
          <w:sz w:val="22"/>
          <w:szCs w:val="22"/>
        </w:rPr>
        <w:t>)</w:t>
      </w:r>
      <w:r w:rsidRPr="005402C9">
        <w:rPr>
          <w:sz w:val="22"/>
          <w:szCs w:val="22"/>
        </w:rPr>
        <w:t xml:space="preserve"> pot fi majorate cu 10 puncte procentuale pentru întreprinderile mijlocii</w:t>
      </w:r>
      <w:r w:rsidR="00B0089D" w:rsidRPr="005402C9">
        <w:rPr>
          <w:sz w:val="22"/>
          <w:szCs w:val="22"/>
        </w:rPr>
        <w:t>, respectiv</w:t>
      </w:r>
      <w:r w:rsidRPr="005402C9">
        <w:rPr>
          <w:sz w:val="22"/>
          <w:szCs w:val="22"/>
        </w:rPr>
        <w:t xml:space="preserve"> cu 20 de puncte procentuale pentru întreprinderile mici, fără a depăși o intensitate maximă a ajutorului de 80% din costurile eligibile. Totodată, </w:t>
      </w:r>
      <w:r w:rsidR="00B0089D" w:rsidRPr="005402C9">
        <w:rPr>
          <w:sz w:val="22"/>
          <w:szCs w:val="22"/>
        </w:rPr>
        <w:t>i</w:t>
      </w:r>
      <w:r w:rsidRPr="005402C9">
        <w:rPr>
          <w:sz w:val="22"/>
          <w:szCs w:val="22"/>
        </w:rPr>
        <w:t>ntensitatea ajutoarelor pentru studiile de fezabilitate prevăzută la alin. (1) lit. d) poate fi majorată cu 10 puncte procentuale în cazul întreprinderilor mijlocii și cu 20 de puncte procentuale în cazul întreprinderilor mici.</w:t>
      </w:r>
      <w:r w:rsidRPr="005402C9">
        <w:rPr>
          <w:b/>
          <w:bCs/>
          <w:sz w:val="22"/>
          <w:szCs w:val="22"/>
        </w:rPr>
        <w:t xml:space="preserve"> </w:t>
      </w:r>
    </w:p>
    <w:p w14:paraId="79A549D1" w14:textId="6A16EB92" w:rsidR="008D442C" w:rsidRPr="005402C9" w:rsidRDefault="00320240" w:rsidP="00C524C6">
      <w:pPr>
        <w:spacing w:before="0" w:after="60" w:line="276" w:lineRule="auto"/>
        <w:jc w:val="both"/>
        <w:rPr>
          <w:sz w:val="22"/>
          <w:szCs w:val="22"/>
        </w:rPr>
      </w:pPr>
      <w:r w:rsidRPr="005402C9">
        <w:rPr>
          <w:sz w:val="22"/>
          <w:szCs w:val="22"/>
        </w:rPr>
        <w:t xml:space="preserve">În cazul în care alocarea financiară prevăzută la cap. 1.2.5 este insuficientă pentru finanțarea tuturor subproiectelor selectate, bugetul fiecărui subproiect </w:t>
      </w:r>
      <w:r w:rsidR="0021421A" w:rsidRPr="005402C9">
        <w:rPr>
          <w:sz w:val="22"/>
          <w:szCs w:val="22"/>
        </w:rPr>
        <w:t>va fi</w:t>
      </w:r>
      <w:r w:rsidRPr="005402C9">
        <w:rPr>
          <w:sz w:val="22"/>
          <w:szCs w:val="22"/>
        </w:rPr>
        <w:t xml:space="preserve"> redus cu același procent până la concurența sum</w:t>
      </w:r>
      <w:r w:rsidRPr="00A02DAB">
        <w:rPr>
          <w:sz w:val="22"/>
          <w:szCs w:val="22"/>
        </w:rPr>
        <w:t>ei de 304,</w:t>
      </w:r>
      <w:r w:rsidR="00DA1D07" w:rsidRPr="00A02DAB">
        <w:rPr>
          <w:sz w:val="22"/>
          <w:szCs w:val="22"/>
        </w:rPr>
        <w:t>3</w:t>
      </w:r>
      <w:r w:rsidRPr="00A02DAB">
        <w:rPr>
          <w:sz w:val="22"/>
          <w:szCs w:val="22"/>
        </w:rPr>
        <w:t>7 milioane de euro, iar</w:t>
      </w:r>
      <w:r w:rsidRPr="005402C9">
        <w:rPr>
          <w:sz w:val="22"/>
          <w:szCs w:val="22"/>
        </w:rPr>
        <w:t xml:space="preserve"> diferența este suportată de către participanții indirecți.</w:t>
      </w:r>
      <w:r w:rsidR="00D532DD" w:rsidRPr="005402C9">
        <w:rPr>
          <w:sz w:val="22"/>
          <w:szCs w:val="22"/>
        </w:rPr>
        <w:t xml:space="preserve"> </w:t>
      </w:r>
    </w:p>
    <w:p w14:paraId="5A51B309" w14:textId="18EA900F" w:rsidR="00B0089D" w:rsidRPr="005402C9" w:rsidRDefault="00C524C6" w:rsidP="00C524C6">
      <w:pPr>
        <w:spacing w:before="0" w:after="60" w:line="276" w:lineRule="auto"/>
        <w:jc w:val="both"/>
        <w:rPr>
          <w:sz w:val="22"/>
          <w:szCs w:val="22"/>
        </w:rPr>
      </w:pPr>
      <w:r w:rsidRPr="005402C9">
        <w:rPr>
          <w:sz w:val="22"/>
          <w:szCs w:val="22"/>
        </w:rPr>
        <w:t>Ajutoarele de stat se acordă în lei, la cursul de schimb InforEuro valabil la data acordării ajutoarelor de stat, respectiv data semnării contractelor de finanțare.</w:t>
      </w:r>
      <w:r w:rsidR="00B0089D" w:rsidRPr="005402C9">
        <w:rPr>
          <w:sz w:val="22"/>
          <w:szCs w:val="22"/>
        </w:rPr>
        <w:t xml:space="preserve"> </w:t>
      </w:r>
    </w:p>
    <w:p w14:paraId="0C156006" w14:textId="5EF46B15" w:rsidR="00C524C6" w:rsidRPr="005402C9" w:rsidRDefault="00C524C6" w:rsidP="00C524C6">
      <w:pPr>
        <w:spacing w:before="0" w:after="60" w:line="276" w:lineRule="auto"/>
        <w:jc w:val="both"/>
        <w:rPr>
          <w:sz w:val="22"/>
          <w:szCs w:val="22"/>
        </w:rPr>
      </w:pPr>
      <w:r w:rsidRPr="009D3F4E">
        <w:rPr>
          <w:sz w:val="22"/>
          <w:szCs w:val="22"/>
        </w:rPr>
        <w:lastRenderedPageBreak/>
        <w:t>Perioada în care se acordă ajutoarele de stat</w:t>
      </w:r>
      <w:r w:rsidR="0066125A" w:rsidRPr="009D3F4E">
        <w:rPr>
          <w:sz w:val="22"/>
          <w:szCs w:val="22"/>
        </w:rPr>
        <w:t xml:space="preserve"> se încheie la 30 iunie 2026</w:t>
      </w:r>
      <w:r w:rsidRPr="009D3F4E">
        <w:rPr>
          <w:sz w:val="22"/>
          <w:szCs w:val="22"/>
        </w:rPr>
        <w:t xml:space="preserve"> și se realizează plățile încep</w:t>
      </w:r>
      <w:r w:rsidR="0066125A" w:rsidRPr="009D3F4E">
        <w:rPr>
          <w:sz w:val="22"/>
          <w:szCs w:val="22"/>
        </w:rPr>
        <w:t>ând</w:t>
      </w:r>
      <w:r w:rsidRPr="009D3F4E">
        <w:rPr>
          <w:sz w:val="22"/>
          <w:szCs w:val="22"/>
        </w:rPr>
        <w:t xml:space="preserve"> de la data semnării contractelor de finanțare cu beneficiarii </w:t>
      </w:r>
      <w:r w:rsidR="0066125A" w:rsidRPr="009D3F4E">
        <w:rPr>
          <w:sz w:val="22"/>
          <w:szCs w:val="22"/>
        </w:rPr>
        <w:t>până</w:t>
      </w:r>
      <w:r w:rsidRPr="009D3F4E">
        <w:rPr>
          <w:sz w:val="22"/>
          <w:szCs w:val="22"/>
        </w:rPr>
        <w:t xml:space="preserve"> la data de 31 decembrie 2028.</w:t>
      </w:r>
    </w:p>
    <w:p w14:paraId="5C2BD1F1" w14:textId="77777777" w:rsidR="00C524C6" w:rsidRPr="005402C9" w:rsidRDefault="00C524C6" w:rsidP="007F20E6">
      <w:pPr>
        <w:spacing w:before="0" w:line="276" w:lineRule="auto"/>
        <w:jc w:val="both"/>
        <w:rPr>
          <w:sz w:val="22"/>
          <w:szCs w:val="22"/>
        </w:rPr>
      </w:pPr>
    </w:p>
    <w:p w14:paraId="20735B3F" w14:textId="0EF0FEEE" w:rsidR="008620EF" w:rsidRPr="005402C9" w:rsidRDefault="00BF335E" w:rsidP="0013489D">
      <w:pPr>
        <w:pStyle w:val="Heading1"/>
        <w:spacing w:before="0" w:after="0" w:line="276" w:lineRule="auto"/>
        <w:ind w:left="0" w:firstLine="0"/>
        <w:jc w:val="both"/>
        <w:rPr>
          <w:color w:val="7030A0"/>
          <w:sz w:val="22"/>
          <w:szCs w:val="22"/>
        </w:rPr>
      </w:pPr>
      <w:bookmarkStart w:id="33" w:name="_z337ya"/>
      <w:bookmarkStart w:id="34" w:name="_3j2qqm3"/>
      <w:bookmarkStart w:id="35" w:name="_1y810tw"/>
      <w:bookmarkStart w:id="36" w:name="_4i7ojhp"/>
      <w:bookmarkStart w:id="37" w:name="_Toc150159456"/>
      <w:bookmarkEnd w:id="33"/>
      <w:bookmarkEnd w:id="34"/>
      <w:bookmarkEnd w:id="35"/>
      <w:bookmarkEnd w:id="36"/>
      <w:r w:rsidRPr="005402C9">
        <w:rPr>
          <w:color w:val="7030A0"/>
          <w:sz w:val="22"/>
          <w:szCs w:val="22"/>
        </w:rPr>
        <w:t xml:space="preserve">3. </w:t>
      </w:r>
      <w:r w:rsidR="0064295B" w:rsidRPr="005402C9">
        <w:rPr>
          <w:color w:val="7030A0"/>
          <w:sz w:val="22"/>
          <w:szCs w:val="22"/>
        </w:rPr>
        <w:t>ELIGIBILITATEA CHELTUIELILOR</w:t>
      </w:r>
      <w:bookmarkEnd w:id="37"/>
      <w:r w:rsidR="0064295B" w:rsidRPr="005402C9">
        <w:rPr>
          <w:color w:val="7030A0"/>
          <w:sz w:val="22"/>
          <w:szCs w:val="22"/>
        </w:rPr>
        <w:t xml:space="preserve"> </w:t>
      </w:r>
    </w:p>
    <w:p w14:paraId="142F48B4" w14:textId="7C882223" w:rsidR="006401C9" w:rsidRPr="005402C9" w:rsidRDefault="006401C9" w:rsidP="006401C9">
      <w:pPr>
        <w:spacing w:line="276" w:lineRule="auto"/>
        <w:jc w:val="both"/>
        <w:rPr>
          <w:sz w:val="22"/>
          <w:szCs w:val="22"/>
        </w:rPr>
      </w:pPr>
      <w:r w:rsidRPr="005402C9">
        <w:rPr>
          <w:sz w:val="22"/>
          <w:szCs w:val="22"/>
        </w:rPr>
        <w:t>În conformitate cu</w:t>
      </w:r>
      <w:r w:rsidRPr="005402C9">
        <w:t xml:space="preserve"> </w:t>
      </w:r>
      <w:r w:rsidRPr="005402C9">
        <w:rPr>
          <w:sz w:val="22"/>
          <w:szCs w:val="22"/>
        </w:rPr>
        <w:t>prevederile OUG nr. 124/2021 privind stabilirea cadrului instituţional și financiar pentru gestionarea fondurilor europene alocate României prin Mecanismul de redresare şi rezilienţă, cu modificări și completari ulterioare și a normelor metodologice de aplicare stabilite prin HG nr. 209/2022, precum cu prevederile HG nr. 856/2022 și ale Ordinului MIPE-MEAT nr</w:t>
      </w:r>
      <w:r w:rsidRPr="005402C9">
        <w:rPr>
          <w:sz w:val="22"/>
          <w:szCs w:val="22"/>
          <w:highlight w:val="yellow"/>
        </w:rPr>
        <w:t>......</w:t>
      </w:r>
      <w:r w:rsidRPr="005402C9">
        <w:rPr>
          <w:sz w:val="22"/>
          <w:szCs w:val="22"/>
        </w:rPr>
        <w:t>, cheltuielile sunt eligibile dacă</w:t>
      </w:r>
      <w:r w:rsidR="00E97D1E" w:rsidRPr="005402C9">
        <w:rPr>
          <w:sz w:val="22"/>
          <w:szCs w:val="22"/>
        </w:rPr>
        <w:t xml:space="preserve"> </w:t>
      </w:r>
      <w:r w:rsidR="00E97D1E" w:rsidRPr="000C713B">
        <w:rPr>
          <w:sz w:val="22"/>
          <w:szCs w:val="22"/>
        </w:rPr>
        <w:t>sunt realizate de la momentul depunerii cererii de finanțare și</w:t>
      </w:r>
      <w:r w:rsidRPr="005402C9">
        <w:rPr>
          <w:sz w:val="22"/>
          <w:szCs w:val="22"/>
        </w:rPr>
        <w:t xml:space="preserve"> îndeplinesc următoarele condiții cumulative:</w:t>
      </w:r>
    </w:p>
    <w:p w14:paraId="7B612612" w14:textId="77777777" w:rsidR="00323F9D" w:rsidRPr="005402C9" w:rsidRDefault="006401C9">
      <w:pPr>
        <w:pStyle w:val="ListParagraph"/>
        <w:numPr>
          <w:ilvl w:val="0"/>
          <w:numId w:val="5"/>
        </w:numPr>
        <w:tabs>
          <w:tab w:val="left" w:pos="90"/>
        </w:tabs>
        <w:spacing w:line="276" w:lineRule="auto"/>
        <w:ind w:left="450"/>
        <w:jc w:val="both"/>
        <w:rPr>
          <w:rFonts w:ascii="Trebuchet MS" w:eastAsia="Trebuchet MS" w:hAnsi="Trebuchet MS" w:cs="Trebuchet MS"/>
          <w:lang w:val="ro-RO"/>
        </w:rPr>
      </w:pPr>
      <w:r w:rsidRPr="005402C9">
        <w:rPr>
          <w:rFonts w:ascii="Trebuchet MS" w:hAnsi="Trebuchet MS"/>
          <w:lang w:val="ro-RO"/>
        </w:rPr>
        <w:t xml:space="preserve">sunt în conformitate cu prevederile Planului Național de Redresare și Reziliență, Componenta C9. Suport pentru sectorul privat, cercetare, dezvoltare și inovare, Investiția 4. </w:t>
      </w:r>
      <w:r w:rsidRPr="005402C9">
        <w:rPr>
          <w:rFonts w:ascii="Trebuchet MS" w:eastAsia="Trebuchet MS" w:hAnsi="Trebuchet MS" w:cs="Trebuchet MS"/>
          <w:lang w:val="ro-RO"/>
        </w:rPr>
        <w:t>Proiecte transfrontaliere și multinaționale – Procesoare cu consum redus de energie și cipuri semiconductoare;</w:t>
      </w:r>
    </w:p>
    <w:p w14:paraId="189DE1E6" w14:textId="77BBF69B" w:rsidR="00323F9D" w:rsidRPr="005402C9" w:rsidRDefault="006401C9">
      <w:pPr>
        <w:pStyle w:val="ListParagraph"/>
        <w:numPr>
          <w:ilvl w:val="0"/>
          <w:numId w:val="5"/>
        </w:numPr>
        <w:spacing w:line="276" w:lineRule="auto"/>
        <w:ind w:left="450"/>
        <w:jc w:val="both"/>
        <w:rPr>
          <w:rFonts w:ascii="Trebuchet MS" w:eastAsia="Trebuchet MS" w:hAnsi="Trebuchet MS" w:cs="Trebuchet MS"/>
          <w:lang w:val="ro-RO"/>
        </w:rPr>
      </w:pPr>
      <w:r w:rsidRPr="005402C9">
        <w:rPr>
          <w:rFonts w:ascii="Trebuchet MS" w:eastAsia="Trebuchet MS" w:hAnsi="Trebuchet MS" w:cs="Trebuchet MS"/>
          <w:lang w:val="ro-RO"/>
        </w:rPr>
        <w:t>sunt aferente activităților care fac obiectul acordului de colaborare efectivă cu un participan</w:t>
      </w:r>
      <w:r w:rsidR="004835C3" w:rsidRPr="005402C9">
        <w:rPr>
          <w:rFonts w:ascii="Trebuchet MS" w:eastAsia="Trebuchet MS" w:hAnsi="Trebuchet MS" w:cs="Trebuchet MS"/>
          <w:lang w:val="ro-RO"/>
        </w:rPr>
        <w:t>t</w:t>
      </w:r>
      <w:r w:rsidRPr="005402C9">
        <w:rPr>
          <w:rFonts w:ascii="Trebuchet MS" w:eastAsia="Trebuchet MS" w:hAnsi="Trebuchet MS" w:cs="Trebuchet MS"/>
          <w:lang w:val="ro-RO"/>
        </w:rPr>
        <w:t xml:space="preserve"> direc</w:t>
      </w:r>
      <w:r w:rsidR="004835C3" w:rsidRPr="005402C9">
        <w:rPr>
          <w:rFonts w:ascii="Trebuchet MS" w:eastAsia="Trebuchet MS" w:hAnsi="Trebuchet MS" w:cs="Trebuchet MS"/>
          <w:lang w:val="ro-RO"/>
        </w:rPr>
        <w:t>t</w:t>
      </w:r>
      <w:r w:rsidRPr="005402C9">
        <w:rPr>
          <w:rFonts w:ascii="Trebuchet MS" w:eastAsia="Trebuchet MS" w:hAnsi="Trebuchet MS" w:cs="Trebuchet MS"/>
          <w:lang w:val="ro-RO"/>
        </w:rPr>
        <w:t xml:space="preserve"> selecta</w:t>
      </w:r>
      <w:r w:rsidR="004835C3" w:rsidRPr="005402C9">
        <w:rPr>
          <w:rFonts w:ascii="Trebuchet MS" w:eastAsia="Trebuchet MS" w:hAnsi="Trebuchet MS" w:cs="Trebuchet MS"/>
          <w:lang w:val="ro-RO"/>
        </w:rPr>
        <w:t>t</w:t>
      </w:r>
      <w:r w:rsidRPr="005402C9">
        <w:rPr>
          <w:rFonts w:ascii="Trebuchet MS" w:eastAsia="Trebuchet MS" w:hAnsi="Trebuchet MS" w:cs="Trebuchet MS"/>
          <w:lang w:val="ro-RO"/>
        </w:rPr>
        <w:t xml:space="preserve"> de către Comisia Europeană prin Decizia Comisiei Europene C(2023) 3817 din 08.06.2023 și sunt reflectate ca atare în cererea de finanțare;</w:t>
      </w:r>
    </w:p>
    <w:p w14:paraId="3243EB47" w14:textId="07D1D9D1" w:rsidR="006401C9" w:rsidRPr="005402C9" w:rsidRDefault="006401C9">
      <w:pPr>
        <w:pStyle w:val="ListParagraph"/>
        <w:numPr>
          <w:ilvl w:val="0"/>
          <w:numId w:val="5"/>
        </w:numPr>
        <w:spacing w:line="276" w:lineRule="auto"/>
        <w:ind w:left="450"/>
        <w:jc w:val="both"/>
        <w:rPr>
          <w:rFonts w:ascii="Trebuchet MS" w:eastAsia="Trebuchet MS" w:hAnsi="Trebuchet MS" w:cs="Trebuchet MS"/>
          <w:lang w:val="ro-RO"/>
        </w:rPr>
      </w:pPr>
      <w:r w:rsidRPr="005402C9">
        <w:rPr>
          <w:rFonts w:ascii="Trebuchet MS" w:eastAsia="Trebuchet MS" w:hAnsi="Trebuchet MS" w:cs="Trebuchet MS"/>
          <w:lang w:val="ro-RO"/>
        </w:rPr>
        <w:t>sunt proporționale/rezonabile și necesare pentru implementarea proiectului;</w:t>
      </w:r>
    </w:p>
    <w:p w14:paraId="7D8DFC23" w14:textId="77777777" w:rsidR="004835C3" w:rsidRPr="005402C9" w:rsidRDefault="006401C9">
      <w:pPr>
        <w:pStyle w:val="ListParagraph"/>
        <w:numPr>
          <w:ilvl w:val="0"/>
          <w:numId w:val="5"/>
        </w:numPr>
        <w:spacing w:line="276" w:lineRule="auto"/>
        <w:ind w:left="450"/>
        <w:jc w:val="both"/>
        <w:rPr>
          <w:rFonts w:ascii="Trebuchet MS" w:hAnsi="Trebuchet MS"/>
        </w:rPr>
      </w:pPr>
      <w:r w:rsidRPr="005402C9">
        <w:rPr>
          <w:rFonts w:ascii="Trebuchet MS" w:eastAsia="Trebuchet MS" w:hAnsi="Trebuchet MS" w:cs="Trebuchet MS"/>
          <w:lang w:val="ro-RO"/>
        </w:rPr>
        <w:t>sunt identificabile și verificabile;</w:t>
      </w:r>
    </w:p>
    <w:p w14:paraId="0901D321" w14:textId="5E2C368E" w:rsidR="0021421A" w:rsidRPr="005402C9" w:rsidRDefault="0021421A">
      <w:pPr>
        <w:pStyle w:val="ListParagraph"/>
        <w:numPr>
          <w:ilvl w:val="0"/>
          <w:numId w:val="5"/>
        </w:numPr>
        <w:spacing w:after="0" w:line="276" w:lineRule="auto"/>
        <w:ind w:left="450"/>
        <w:jc w:val="both"/>
        <w:textAlignment w:val="auto"/>
        <w:rPr>
          <w:rFonts w:ascii="Trebuchet MS" w:hAnsi="Trebuchet MS"/>
        </w:rPr>
      </w:pPr>
      <w:bookmarkStart w:id="38" w:name="_Hlk144797881"/>
      <w:proofErr w:type="spellStart"/>
      <w:r w:rsidRPr="005402C9">
        <w:rPr>
          <w:rFonts w:ascii="Trebuchet MS" w:hAnsi="Trebuchet MS"/>
        </w:rPr>
        <w:t>respectă</w:t>
      </w:r>
      <w:proofErr w:type="spellEnd"/>
      <w:r w:rsidRPr="005402C9">
        <w:rPr>
          <w:rFonts w:ascii="Trebuchet MS" w:hAnsi="Trebuchet MS"/>
        </w:rPr>
        <w:t xml:space="preserve"> </w:t>
      </w:r>
      <w:proofErr w:type="spellStart"/>
      <w:r w:rsidRPr="005402C9">
        <w:rPr>
          <w:rFonts w:ascii="Trebuchet MS" w:hAnsi="Trebuchet MS"/>
        </w:rPr>
        <w:t>plafoanele</w:t>
      </w:r>
      <w:proofErr w:type="spellEnd"/>
      <w:r w:rsidRPr="005402C9">
        <w:rPr>
          <w:rFonts w:ascii="Trebuchet MS" w:hAnsi="Trebuchet MS"/>
        </w:rPr>
        <w:t xml:space="preserve"> </w:t>
      </w:r>
      <w:proofErr w:type="spellStart"/>
      <w:r w:rsidRPr="005402C9">
        <w:rPr>
          <w:rFonts w:ascii="Trebuchet MS" w:hAnsi="Trebuchet MS"/>
        </w:rPr>
        <w:t>aferente</w:t>
      </w:r>
      <w:proofErr w:type="spellEnd"/>
      <w:r w:rsidRPr="005402C9">
        <w:rPr>
          <w:rFonts w:ascii="Trebuchet MS" w:hAnsi="Trebuchet MS"/>
        </w:rPr>
        <w:t xml:space="preserve"> </w:t>
      </w:r>
      <w:proofErr w:type="spellStart"/>
      <w:r w:rsidRPr="005402C9">
        <w:rPr>
          <w:rFonts w:ascii="Trebuchet MS" w:hAnsi="Trebuchet MS"/>
        </w:rPr>
        <w:t>cheltuielilor</w:t>
      </w:r>
      <w:proofErr w:type="spellEnd"/>
      <w:r w:rsidRPr="005402C9">
        <w:rPr>
          <w:rFonts w:ascii="Trebuchet MS" w:hAnsi="Trebuchet MS"/>
        </w:rPr>
        <w:t xml:space="preserve"> </w:t>
      </w:r>
      <w:proofErr w:type="spellStart"/>
      <w:r w:rsidRPr="005402C9">
        <w:rPr>
          <w:rFonts w:ascii="Trebuchet MS" w:hAnsi="Trebuchet MS"/>
        </w:rPr>
        <w:t>salariale</w:t>
      </w:r>
      <w:proofErr w:type="spellEnd"/>
      <w:r w:rsidRPr="005402C9">
        <w:rPr>
          <w:rFonts w:ascii="Trebuchet MS" w:hAnsi="Trebuchet MS"/>
        </w:rPr>
        <w:t xml:space="preserve"> </w:t>
      </w:r>
      <w:proofErr w:type="spellStart"/>
      <w:r w:rsidRPr="005402C9">
        <w:rPr>
          <w:rFonts w:ascii="Trebuchet MS" w:hAnsi="Trebuchet MS"/>
        </w:rPr>
        <w:t>directe</w:t>
      </w:r>
      <w:proofErr w:type="spellEnd"/>
      <w:r w:rsidRPr="005402C9">
        <w:rPr>
          <w:rFonts w:ascii="Trebuchet MS" w:hAnsi="Trebuchet MS"/>
        </w:rPr>
        <w:t xml:space="preserve">, </w:t>
      </w:r>
      <w:proofErr w:type="spellStart"/>
      <w:r w:rsidRPr="005402C9">
        <w:rPr>
          <w:rFonts w:ascii="Trebuchet MS" w:hAnsi="Trebuchet MS"/>
        </w:rPr>
        <w:t>stabilite</w:t>
      </w:r>
      <w:proofErr w:type="spellEnd"/>
      <w:r w:rsidRPr="005402C9">
        <w:rPr>
          <w:rFonts w:ascii="Trebuchet MS" w:hAnsi="Trebuchet MS"/>
        </w:rPr>
        <w:t xml:space="preserve"> </w:t>
      </w:r>
      <w:proofErr w:type="spellStart"/>
      <w:r w:rsidRPr="005402C9">
        <w:rPr>
          <w:rFonts w:ascii="Trebuchet MS" w:hAnsi="Trebuchet MS"/>
        </w:rPr>
        <w:t>în</w:t>
      </w:r>
      <w:proofErr w:type="spellEnd"/>
      <w:r w:rsidRPr="005402C9">
        <w:rPr>
          <w:rFonts w:ascii="Trebuchet MS" w:hAnsi="Trebuchet MS"/>
        </w:rPr>
        <w:t xml:space="preserve"> </w:t>
      </w:r>
      <w:proofErr w:type="spellStart"/>
      <w:r w:rsidRPr="005402C9">
        <w:rPr>
          <w:rFonts w:ascii="Trebuchet MS" w:hAnsi="Trebuchet MS"/>
        </w:rPr>
        <w:t>concordanță</w:t>
      </w:r>
      <w:proofErr w:type="spellEnd"/>
      <w:r w:rsidRPr="005402C9">
        <w:rPr>
          <w:rFonts w:ascii="Trebuchet MS" w:hAnsi="Trebuchet MS"/>
        </w:rPr>
        <w:t xml:space="preserve"> cu </w:t>
      </w:r>
      <w:proofErr w:type="spellStart"/>
      <w:r w:rsidRPr="005402C9">
        <w:rPr>
          <w:rFonts w:ascii="Trebuchet MS" w:hAnsi="Trebuchet MS"/>
        </w:rPr>
        <w:t>plafoanele</w:t>
      </w:r>
      <w:proofErr w:type="spellEnd"/>
      <w:r w:rsidRPr="005402C9">
        <w:rPr>
          <w:rFonts w:ascii="Trebuchet MS" w:hAnsi="Trebuchet MS"/>
        </w:rPr>
        <w:t xml:space="preserve"> </w:t>
      </w:r>
      <w:proofErr w:type="spellStart"/>
      <w:r w:rsidRPr="005402C9">
        <w:rPr>
          <w:rFonts w:ascii="Trebuchet MS" w:hAnsi="Trebuchet MS"/>
        </w:rPr>
        <w:t>stabilite</w:t>
      </w:r>
      <w:proofErr w:type="spellEnd"/>
      <w:r w:rsidRPr="005402C9">
        <w:rPr>
          <w:rFonts w:ascii="Trebuchet MS" w:hAnsi="Trebuchet MS"/>
        </w:rPr>
        <w:t xml:space="preserve"> </w:t>
      </w:r>
      <w:proofErr w:type="spellStart"/>
      <w:r w:rsidRPr="005402C9">
        <w:rPr>
          <w:rFonts w:ascii="Trebuchet MS" w:hAnsi="Trebuchet MS"/>
        </w:rPr>
        <w:t>prin</w:t>
      </w:r>
      <w:proofErr w:type="spellEnd"/>
      <w:r w:rsidRPr="005402C9">
        <w:rPr>
          <w:rFonts w:ascii="Trebuchet MS" w:hAnsi="Trebuchet MS"/>
        </w:rPr>
        <w:t xml:space="preserve"> HG </w:t>
      </w:r>
      <w:r w:rsidR="00887CCB" w:rsidRPr="005402C9">
        <w:rPr>
          <w:rFonts w:ascii="Trebuchet MS" w:hAnsi="Trebuchet MS"/>
        </w:rPr>
        <w:t xml:space="preserve">nr. </w:t>
      </w:r>
      <w:r w:rsidRPr="005402C9">
        <w:rPr>
          <w:rFonts w:ascii="Trebuchet MS" w:hAnsi="Trebuchet MS"/>
        </w:rPr>
        <w:t xml:space="preserve">327/2013 </w:t>
      </w:r>
      <w:proofErr w:type="spellStart"/>
      <w:r w:rsidRPr="005402C9">
        <w:rPr>
          <w:rFonts w:ascii="Trebuchet MS" w:hAnsi="Trebuchet MS"/>
        </w:rPr>
        <w:t>privind</w:t>
      </w:r>
      <w:proofErr w:type="spellEnd"/>
      <w:r w:rsidRPr="005402C9">
        <w:rPr>
          <w:rFonts w:ascii="Trebuchet MS" w:hAnsi="Trebuchet MS"/>
        </w:rPr>
        <w:t xml:space="preserve"> </w:t>
      </w:r>
      <w:proofErr w:type="spellStart"/>
      <w:r w:rsidRPr="005402C9">
        <w:rPr>
          <w:rFonts w:ascii="Trebuchet MS" w:hAnsi="Trebuchet MS"/>
        </w:rPr>
        <w:t>plafoanele</w:t>
      </w:r>
      <w:proofErr w:type="spellEnd"/>
      <w:r w:rsidRPr="005402C9">
        <w:rPr>
          <w:rFonts w:ascii="Trebuchet MS" w:hAnsi="Trebuchet MS"/>
        </w:rPr>
        <w:t xml:space="preserve"> pe </w:t>
      </w:r>
      <w:proofErr w:type="spellStart"/>
      <w:r w:rsidRPr="005402C9">
        <w:rPr>
          <w:rFonts w:ascii="Trebuchet MS" w:hAnsi="Trebuchet MS"/>
        </w:rPr>
        <w:t>baza</w:t>
      </w:r>
      <w:proofErr w:type="spellEnd"/>
      <w:r w:rsidRPr="005402C9">
        <w:rPr>
          <w:rFonts w:ascii="Trebuchet MS" w:hAnsi="Trebuchet MS"/>
        </w:rPr>
        <w:t xml:space="preserve"> </w:t>
      </w:r>
      <w:proofErr w:type="spellStart"/>
      <w:r w:rsidRPr="005402C9">
        <w:rPr>
          <w:rFonts w:ascii="Trebuchet MS" w:hAnsi="Trebuchet MS"/>
        </w:rPr>
        <w:t>cărora</w:t>
      </w:r>
      <w:proofErr w:type="spellEnd"/>
      <w:r w:rsidRPr="005402C9">
        <w:rPr>
          <w:rFonts w:ascii="Trebuchet MS" w:hAnsi="Trebuchet MS"/>
        </w:rPr>
        <w:t xml:space="preserve"> se </w:t>
      </w:r>
      <w:proofErr w:type="spellStart"/>
      <w:r w:rsidRPr="005402C9">
        <w:rPr>
          <w:rFonts w:ascii="Trebuchet MS" w:hAnsi="Trebuchet MS"/>
        </w:rPr>
        <w:t>calculează</w:t>
      </w:r>
      <w:proofErr w:type="spellEnd"/>
      <w:r w:rsidRPr="005402C9">
        <w:rPr>
          <w:rFonts w:ascii="Trebuchet MS" w:hAnsi="Trebuchet MS"/>
        </w:rPr>
        <w:t xml:space="preserve"> </w:t>
      </w:r>
      <w:proofErr w:type="spellStart"/>
      <w:r w:rsidRPr="005402C9">
        <w:rPr>
          <w:rFonts w:ascii="Trebuchet MS" w:hAnsi="Trebuchet MS"/>
        </w:rPr>
        <w:t>costurile</w:t>
      </w:r>
      <w:proofErr w:type="spellEnd"/>
      <w:r w:rsidRPr="005402C9">
        <w:rPr>
          <w:rFonts w:ascii="Trebuchet MS" w:hAnsi="Trebuchet MS"/>
        </w:rPr>
        <w:t xml:space="preserve"> </w:t>
      </w:r>
      <w:proofErr w:type="spellStart"/>
      <w:r w:rsidRPr="005402C9">
        <w:rPr>
          <w:rFonts w:ascii="Trebuchet MS" w:hAnsi="Trebuchet MS"/>
        </w:rPr>
        <w:t>salariale</w:t>
      </w:r>
      <w:proofErr w:type="spellEnd"/>
      <w:r w:rsidRPr="005402C9">
        <w:rPr>
          <w:rFonts w:ascii="Trebuchet MS" w:hAnsi="Trebuchet MS"/>
        </w:rPr>
        <w:t xml:space="preserve"> </w:t>
      </w:r>
      <w:proofErr w:type="spellStart"/>
      <w:r w:rsidRPr="005402C9">
        <w:rPr>
          <w:rFonts w:ascii="Trebuchet MS" w:hAnsi="Trebuchet MS"/>
        </w:rPr>
        <w:t>directe</w:t>
      </w:r>
      <w:proofErr w:type="spellEnd"/>
      <w:r w:rsidRPr="005402C9">
        <w:rPr>
          <w:rFonts w:ascii="Trebuchet MS" w:hAnsi="Trebuchet MS"/>
        </w:rPr>
        <w:t xml:space="preserve"> la </w:t>
      </w:r>
      <w:proofErr w:type="spellStart"/>
      <w:r w:rsidRPr="005402C9">
        <w:rPr>
          <w:rFonts w:ascii="Trebuchet MS" w:hAnsi="Trebuchet MS"/>
        </w:rPr>
        <w:t>contractele</w:t>
      </w:r>
      <w:proofErr w:type="spellEnd"/>
      <w:r w:rsidRPr="005402C9">
        <w:rPr>
          <w:rFonts w:ascii="Trebuchet MS" w:hAnsi="Trebuchet MS"/>
        </w:rPr>
        <w:t xml:space="preserve"> de </w:t>
      </w:r>
      <w:proofErr w:type="spellStart"/>
      <w:r w:rsidRPr="005402C9">
        <w:rPr>
          <w:rFonts w:ascii="Trebuchet MS" w:hAnsi="Trebuchet MS"/>
        </w:rPr>
        <w:t>finanţare</w:t>
      </w:r>
      <w:proofErr w:type="spellEnd"/>
      <w:r w:rsidRPr="005402C9">
        <w:rPr>
          <w:rFonts w:ascii="Trebuchet MS" w:hAnsi="Trebuchet MS"/>
        </w:rPr>
        <w:t xml:space="preserve"> </w:t>
      </w:r>
      <w:proofErr w:type="spellStart"/>
      <w:r w:rsidRPr="005402C9">
        <w:rPr>
          <w:rFonts w:ascii="Trebuchet MS" w:hAnsi="Trebuchet MS"/>
        </w:rPr>
        <w:t>încheiate</w:t>
      </w:r>
      <w:proofErr w:type="spellEnd"/>
      <w:r w:rsidRPr="005402C9">
        <w:rPr>
          <w:rFonts w:ascii="Trebuchet MS" w:hAnsi="Trebuchet MS"/>
        </w:rPr>
        <w:t xml:space="preserve"> din </w:t>
      </w:r>
      <w:proofErr w:type="spellStart"/>
      <w:r w:rsidRPr="005402C9">
        <w:rPr>
          <w:rFonts w:ascii="Trebuchet MS" w:hAnsi="Trebuchet MS"/>
        </w:rPr>
        <w:t>fonduri</w:t>
      </w:r>
      <w:proofErr w:type="spellEnd"/>
      <w:r w:rsidRPr="005402C9">
        <w:rPr>
          <w:rFonts w:ascii="Trebuchet MS" w:hAnsi="Trebuchet MS"/>
        </w:rPr>
        <w:t xml:space="preserve"> </w:t>
      </w:r>
      <w:proofErr w:type="spellStart"/>
      <w:r w:rsidRPr="005402C9">
        <w:rPr>
          <w:rFonts w:ascii="Trebuchet MS" w:hAnsi="Trebuchet MS"/>
        </w:rPr>
        <w:t>bugetare</w:t>
      </w:r>
      <w:proofErr w:type="spellEnd"/>
      <w:r w:rsidRPr="005402C9">
        <w:rPr>
          <w:rFonts w:ascii="Trebuchet MS" w:hAnsi="Trebuchet MS"/>
        </w:rPr>
        <w:t xml:space="preserve">, cu </w:t>
      </w:r>
      <w:proofErr w:type="spellStart"/>
      <w:r w:rsidRPr="005402C9">
        <w:rPr>
          <w:rFonts w:ascii="Trebuchet MS" w:hAnsi="Trebuchet MS"/>
        </w:rPr>
        <w:t>modificarile</w:t>
      </w:r>
      <w:proofErr w:type="spellEnd"/>
      <w:r w:rsidRPr="005402C9">
        <w:rPr>
          <w:rFonts w:ascii="Trebuchet MS" w:hAnsi="Trebuchet MS"/>
        </w:rPr>
        <w:t xml:space="preserve"> </w:t>
      </w:r>
      <w:proofErr w:type="spellStart"/>
      <w:r w:rsidRPr="005402C9">
        <w:rPr>
          <w:rFonts w:ascii="Trebuchet MS" w:hAnsi="Trebuchet MS"/>
        </w:rPr>
        <w:t>si</w:t>
      </w:r>
      <w:proofErr w:type="spellEnd"/>
      <w:r w:rsidRPr="005402C9">
        <w:rPr>
          <w:rFonts w:ascii="Trebuchet MS" w:hAnsi="Trebuchet MS"/>
        </w:rPr>
        <w:t xml:space="preserve"> </w:t>
      </w:r>
      <w:proofErr w:type="spellStart"/>
      <w:r w:rsidRPr="005402C9">
        <w:rPr>
          <w:rFonts w:ascii="Trebuchet MS" w:hAnsi="Trebuchet MS"/>
        </w:rPr>
        <w:t>completarile</w:t>
      </w:r>
      <w:proofErr w:type="spellEnd"/>
      <w:r w:rsidRPr="005402C9">
        <w:rPr>
          <w:rFonts w:ascii="Trebuchet MS" w:hAnsi="Trebuchet MS"/>
        </w:rPr>
        <w:t xml:space="preserve"> </w:t>
      </w:r>
      <w:proofErr w:type="spellStart"/>
      <w:r w:rsidRPr="005402C9">
        <w:rPr>
          <w:rFonts w:ascii="Trebuchet MS" w:hAnsi="Trebuchet MS"/>
        </w:rPr>
        <w:t>ulterioare</w:t>
      </w:r>
      <w:bookmarkEnd w:id="38"/>
      <w:proofErr w:type="spellEnd"/>
      <w:r w:rsidRPr="005402C9">
        <w:rPr>
          <w:rFonts w:ascii="Trebuchet MS" w:hAnsi="Trebuchet MS"/>
        </w:rPr>
        <w:t xml:space="preserve">, </w:t>
      </w:r>
      <w:proofErr w:type="spellStart"/>
      <w:r w:rsidRPr="005402C9">
        <w:rPr>
          <w:rFonts w:ascii="Trebuchet MS" w:hAnsi="Trebuchet MS"/>
        </w:rPr>
        <w:t>regăsite</w:t>
      </w:r>
      <w:proofErr w:type="spellEnd"/>
      <w:r w:rsidRPr="005402C9">
        <w:rPr>
          <w:rFonts w:ascii="Trebuchet MS" w:hAnsi="Trebuchet MS"/>
        </w:rPr>
        <w:t xml:space="preserve"> </w:t>
      </w:r>
      <w:proofErr w:type="spellStart"/>
      <w:r w:rsidRPr="005402C9">
        <w:rPr>
          <w:rFonts w:ascii="Trebuchet MS" w:hAnsi="Trebuchet MS"/>
        </w:rPr>
        <w:t>în</w:t>
      </w:r>
      <w:proofErr w:type="spellEnd"/>
      <w:r w:rsidRPr="005402C9">
        <w:rPr>
          <w:rFonts w:ascii="Trebuchet MS" w:hAnsi="Trebuchet MS"/>
        </w:rPr>
        <w:t xml:space="preserve"> </w:t>
      </w:r>
      <w:proofErr w:type="spellStart"/>
      <w:r w:rsidRPr="005402C9">
        <w:rPr>
          <w:rFonts w:ascii="Trebuchet MS" w:hAnsi="Trebuchet MS"/>
        </w:rPr>
        <w:t>tabelul</w:t>
      </w:r>
      <w:proofErr w:type="spellEnd"/>
      <w:r w:rsidRPr="005402C9">
        <w:rPr>
          <w:rFonts w:ascii="Trebuchet MS" w:hAnsi="Trebuchet MS"/>
        </w:rPr>
        <w:t xml:space="preserve"> </w:t>
      </w:r>
      <w:proofErr w:type="spellStart"/>
      <w:r w:rsidRPr="005402C9">
        <w:rPr>
          <w:rFonts w:ascii="Trebuchet MS" w:hAnsi="Trebuchet MS"/>
        </w:rPr>
        <w:t>următor</w:t>
      </w:r>
      <w:proofErr w:type="spellEnd"/>
      <w:r w:rsidRPr="005402C9">
        <w:rPr>
          <w:rFonts w:ascii="Trebuchet MS" w:hAnsi="Trebuchet MS"/>
        </w:rPr>
        <w:t>:</w:t>
      </w:r>
    </w:p>
    <w:p w14:paraId="3DBF63AA" w14:textId="725F4127" w:rsidR="00873948" w:rsidRPr="005402C9" w:rsidRDefault="00873948" w:rsidP="0021421A">
      <w:pPr>
        <w:spacing w:line="276" w:lineRule="auto"/>
        <w:jc w:val="both"/>
        <w:rPr>
          <w:sz w:val="22"/>
          <w:szCs w:val="22"/>
        </w:rPr>
      </w:pPr>
      <w:r w:rsidRPr="005402C9">
        <w:rPr>
          <w:sz w:val="22"/>
          <w:szCs w:val="22"/>
        </w:rPr>
        <w:t>Tabel 3 - Plafoanele pe baza cărora se calculează costurile salariale directe</w:t>
      </w:r>
    </w:p>
    <w:tbl>
      <w:tblPr>
        <w:tblStyle w:val="TableGrid"/>
        <w:tblW w:w="5000" w:type="pct"/>
        <w:tblLook w:val="04A0" w:firstRow="1" w:lastRow="0" w:firstColumn="1" w:lastColumn="0" w:noHBand="0" w:noVBand="1"/>
      </w:tblPr>
      <w:tblGrid>
        <w:gridCol w:w="421"/>
        <w:gridCol w:w="2055"/>
        <w:gridCol w:w="2716"/>
        <w:gridCol w:w="1009"/>
        <w:gridCol w:w="2541"/>
        <w:gridCol w:w="900"/>
      </w:tblGrid>
      <w:tr w:rsidR="00873948" w:rsidRPr="00E453EA" w14:paraId="4B17D541" w14:textId="77777777" w:rsidTr="00E453EA">
        <w:tc>
          <w:tcPr>
            <w:tcW w:w="216" w:type="pct"/>
          </w:tcPr>
          <w:p w14:paraId="389547EF"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 xml:space="preserve">Nr </w:t>
            </w:r>
            <w:proofErr w:type="spellStart"/>
            <w:r w:rsidRPr="00E453EA">
              <w:rPr>
                <w:rFonts w:ascii="Trebuchet MS" w:hAnsi="Trebuchet MS"/>
                <w:sz w:val="16"/>
                <w:szCs w:val="16"/>
              </w:rPr>
              <w:t>crt</w:t>
            </w:r>
            <w:proofErr w:type="spellEnd"/>
          </w:p>
        </w:tc>
        <w:tc>
          <w:tcPr>
            <w:tcW w:w="1066" w:type="pct"/>
          </w:tcPr>
          <w:p w14:paraId="51F57E94"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Categorie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activități</w:t>
            </w:r>
            <w:proofErr w:type="spellEnd"/>
            <w:r w:rsidRPr="00E453EA">
              <w:rPr>
                <w:rFonts w:ascii="Trebuchet MS" w:hAnsi="Trebuchet MS"/>
                <w:sz w:val="16"/>
                <w:szCs w:val="16"/>
              </w:rPr>
              <w:t xml:space="preserve"> </w:t>
            </w:r>
          </w:p>
        </w:tc>
        <w:tc>
          <w:tcPr>
            <w:tcW w:w="1409" w:type="pct"/>
          </w:tcPr>
          <w:p w14:paraId="5205DD0A"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Activități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asimilate</w:t>
            </w:r>
            <w:proofErr w:type="spellEnd"/>
            <w:r w:rsidRPr="00E453EA">
              <w:rPr>
                <w:rStyle w:val="FootnoteReference"/>
                <w:rFonts w:ascii="Trebuchet MS" w:hAnsi="Trebuchet MS"/>
                <w:sz w:val="16"/>
                <w:szCs w:val="16"/>
              </w:rPr>
              <w:footnoteReference w:id="1"/>
            </w:r>
          </w:p>
        </w:tc>
        <w:tc>
          <w:tcPr>
            <w:tcW w:w="524" w:type="pct"/>
          </w:tcPr>
          <w:p w14:paraId="45FDAA57"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 xml:space="preserve">Nivel </w:t>
            </w:r>
            <w:proofErr w:type="spellStart"/>
            <w:r w:rsidRPr="00E453EA">
              <w:rPr>
                <w:rFonts w:ascii="Trebuchet MS" w:hAnsi="Trebuchet MS"/>
                <w:sz w:val="16"/>
                <w:szCs w:val="16"/>
              </w:rPr>
              <w:t>studii</w:t>
            </w:r>
            <w:proofErr w:type="spellEnd"/>
            <w:r w:rsidRPr="00E453EA">
              <w:rPr>
                <w:rFonts w:ascii="Trebuchet MS" w:hAnsi="Trebuchet MS"/>
                <w:sz w:val="16"/>
                <w:szCs w:val="16"/>
              </w:rPr>
              <w:t xml:space="preserve"> </w:t>
            </w:r>
          </w:p>
        </w:tc>
        <w:tc>
          <w:tcPr>
            <w:tcW w:w="1318" w:type="pct"/>
          </w:tcPr>
          <w:p w14:paraId="2F7CA00D"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Funcția</w:t>
            </w:r>
            <w:proofErr w:type="spellEnd"/>
            <w:r w:rsidRPr="00E453EA">
              <w:rPr>
                <w:rFonts w:ascii="Trebuchet MS" w:hAnsi="Trebuchet MS"/>
                <w:sz w:val="16"/>
                <w:szCs w:val="16"/>
              </w:rPr>
              <w:t xml:space="preserve"> / grad </w:t>
            </w:r>
            <w:proofErr w:type="spellStart"/>
            <w:r w:rsidRPr="00E453EA">
              <w:rPr>
                <w:rFonts w:ascii="Trebuchet MS" w:hAnsi="Trebuchet MS"/>
                <w:sz w:val="16"/>
                <w:szCs w:val="16"/>
              </w:rPr>
              <w:t>profesional</w:t>
            </w:r>
            <w:proofErr w:type="spellEnd"/>
          </w:p>
        </w:tc>
        <w:tc>
          <w:tcPr>
            <w:tcW w:w="467" w:type="pct"/>
          </w:tcPr>
          <w:p w14:paraId="5B14E165"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Limita</w:t>
            </w:r>
            <w:proofErr w:type="spellEnd"/>
            <w:r w:rsidRPr="00E453EA">
              <w:rPr>
                <w:rFonts w:ascii="Trebuchet MS" w:hAnsi="Trebuchet MS"/>
                <w:sz w:val="16"/>
                <w:szCs w:val="16"/>
              </w:rPr>
              <w:t xml:space="preserve"> max </w:t>
            </w:r>
            <w:proofErr w:type="spellStart"/>
            <w:r w:rsidRPr="00E453EA">
              <w:rPr>
                <w:rFonts w:ascii="Trebuchet MS" w:hAnsi="Trebuchet MS"/>
                <w:sz w:val="16"/>
                <w:szCs w:val="16"/>
              </w:rPr>
              <w:t>în</w:t>
            </w:r>
            <w:proofErr w:type="spellEnd"/>
            <w:r w:rsidRPr="00E453EA">
              <w:rPr>
                <w:rFonts w:ascii="Trebuchet MS" w:hAnsi="Trebuchet MS"/>
                <w:sz w:val="16"/>
                <w:szCs w:val="16"/>
              </w:rPr>
              <w:t xml:space="preserve"> euro/</w:t>
            </w:r>
            <w:proofErr w:type="spellStart"/>
            <w:r w:rsidRPr="00E453EA">
              <w:rPr>
                <w:rFonts w:ascii="Trebuchet MS" w:hAnsi="Trebuchet MS"/>
                <w:sz w:val="16"/>
                <w:szCs w:val="16"/>
              </w:rPr>
              <w:t>oră</w:t>
            </w:r>
            <w:proofErr w:type="spellEnd"/>
            <w:r w:rsidRPr="00E453EA">
              <w:rPr>
                <w:rFonts w:ascii="Trebuchet MS" w:hAnsi="Trebuchet MS"/>
                <w:sz w:val="16"/>
                <w:szCs w:val="16"/>
              </w:rPr>
              <w:t xml:space="preserve"> </w:t>
            </w:r>
          </w:p>
        </w:tc>
      </w:tr>
      <w:tr w:rsidR="00873948" w:rsidRPr="00E453EA" w14:paraId="6E8F4151" w14:textId="77777777" w:rsidTr="00E453EA">
        <w:tc>
          <w:tcPr>
            <w:tcW w:w="216" w:type="pct"/>
          </w:tcPr>
          <w:p w14:paraId="6C5CF83A"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1.</w:t>
            </w:r>
          </w:p>
        </w:tc>
        <w:tc>
          <w:tcPr>
            <w:tcW w:w="1066" w:type="pct"/>
          </w:tcPr>
          <w:p w14:paraId="45ABAC33"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Activități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presupun</w:t>
            </w:r>
            <w:proofErr w:type="spellEnd"/>
            <w:r w:rsidRPr="00E453EA">
              <w:rPr>
                <w:rFonts w:ascii="Trebuchet MS" w:hAnsi="Trebuchet MS"/>
                <w:sz w:val="16"/>
                <w:szCs w:val="16"/>
              </w:rPr>
              <w:t xml:space="preserve"> un </w:t>
            </w:r>
            <w:proofErr w:type="spellStart"/>
            <w:r w:rsidRPr="00E453EA">
              <w:rPr>
                <w:rFonts w:ascii="Trebuchet MS" w:hAnsi="Trebuchet MS"/>
                <w:sz w:val="16"/>
                <w:szCs w:val="16"/>
              </w:rPr>
              <w:t>înalt</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nivel</w:t>
            </w:r>
            <w:proofErr w:type="spellEnd"/>
            <w:r w:rsidRPr="00E453EA">
              <w:rPr>
                <w:rFonts w:ascii="Trebuchet MS" w:hAnsi="Trebuchet MS"/>
                <w:sz w:val="16"/>
                <w:szCs w:val="16"/>
              </w:rPr>
              <w:t xml:space="preserve"> al </w:t>
            </w:r>
            <w:proofErr w:type="spellStart"/>
            <w:r w:rsidRPr="00E453EA">
              <w:rPr>
                <w:rFonts w:ascii="Trebuchet MS" w:hAnsi="Trebuchet MS"/>
                <w:sz w:val="16"/>
                <w:szCs w:val="16"/>
              </w:rPr>
              <w:t>creativității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w:t>
            </w:r>
            <w:proofErr w:type="spellStart"/>
            <w:r w:rsidRPr="00E453EA">
              <w:rPr>
                <w:rFonts w:ascii="Trebuchet MS" w:hAnsi="Trebuchet MS"/>
                <w:sz w:val="16"/>
                <w:szCs w:val="16"/>
              </w:rPr>
              <w:t>sau</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experiența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abilitatea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conducere</w:t>
            </w:r>
            <w:proofErr w:type="spellEnd"/>
            <w:r w:rsidRPr="00E453EA">
              <w:rPr>
                <w:rFonts w:ascii="Trebuchet MS" w:hAnsi="Trebuchet MS"/>
                <w:sz w:val="16"/>
                <w:szCs w:val="16"/>
              </w:rPr>
              <w:t xml:space="preserve"> </w:t>
            </w:r>
          </w:p>
        </w:tc>
        <w:tc>
          <w:tcPr>
            <w:tcW w:w="1409" w:type="pct"/>
          </w:tcPr>
          <w:p w14:paraId="65FA065A"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cercetări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experimente</w:t>
            </w:r>
            <w:proofErr w:type="spellEnd"/>
            <w:r w:rsidRPr="00E453EA">
              <w:rPr>
                <w:rFonts w:ascii="Trebuchet MS" w:hAnsi="Trebuchet MS"/>
                <w:sz w:val="16"/>
                <w:szCs w:val="16"/>
              </w:rPr>
              <w:t xml:space="preserve">, teste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analize</w:t>
            </w:r>
            <w:proofErr w:type="spellEnd"/>
          </w:p>
          <w:p w14:paraId="43D2A521"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elaborarea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concepte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teorii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modele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tehnici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instrumente</w:t>
            </w:r>
            <w:proofErr w:type="spellEnd"/>
            <w:r w:rsidRPr="00E453EA">
              <w:rPr>
                <w:rFonts w:ascii="Trebuchet MS" w:hAnsi="Trebuchet MS"/>
                <w:sz w:val="16"/>
                <w:szCs w:val="16"/>
              </w:rPr>
              <w:t xml:space="preserve">, software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metode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operaționale</w:t>
            </w:r>
            <w:proofErr w:type="spellEnd"/>
          </w:p>
          <w:p w14:paraId="0315B530"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culegerea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prelucrarea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evaluarea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analiza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interpretarea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datelor</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cercetare</w:t>
            </w:r>
            <w:proofErr w:type="spellEnd"/>
          </w:p>
          <w:p w14:paraId="72D4AFE0"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evaluarea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rezultatelor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investigațiilor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experimentelor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formularea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concluzii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utilizând</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diferite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tehnici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modele</w:t>
            </w:r>
            <w:proofErr w:type="spellEnd"/>
          </w:p>
          <w:p w14:paraId="646C227B"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aplicarea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principiilor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tehnicilor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proceselor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pentru</w:t>
            </w:r>
            <w:proofErr w:type="spellEnd"/>
            <w:r w:rsidRPr="00E453EA">
              <w:rPr>
                <w:rFonts w:ascii="Trebuchet MS" w:hAnsi="Trebuchet MS"/>
                <w:sz w:val="16"/>
                <w:szCs w:val="16"/>
              </w:rPr>
              <w:t xml:space="preserve"> a </w:t>
            </w:r>
            <w:proofErr w:type="spellStart"/>
            <w:r w:rsidRPr="00E453EA">
              <w:rPr>
                <w:rFonts w:ascii="Trebuchet MS" w:hAnsi="Trebuchet MS"/>
                <w:sz w:val="16"/>
                <w:szCs w:val="16"/>
              </w:rPr>
              <w:t>dezvolta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sau</w:t>
            </w:r>
            <w:proofErr w:type="spellEnd"/>
            <w:r w:rsidRPr="00E453EA">
              <w:rPr>
                <w:rFonts w:ascii="Trebuchet MS" w:hAnsi="Trebuchet MS"/>
                <w:sz w:val="16"/>
                <w:szCs w:val="16"/>
              </w:rPr>
              <w:t xml:space="preserve"> a </w:t>
            </w:r>
            <w:proofErr w:type="spellStart"/>
            <w:r w:rsidRPr="00E453EA">
              <w:rPr>
                <w:rFonts w:ascii="Trebuchet MS" w:hAnsi="Trebuchet MS"/>
                <w:sz w:val="16"/>
                <w:szCs w:val="16"/>
              </w:rPr>
              <w:t>îmbunătăți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aplicații</w:t>
            </w:r>
            <w:proofErr w:type="spellEnd"/>
            <w:r w:rsidRPr="00E453EA">
              <w:rPr>
                <w:rFonts w:ascii="Trebuchet MS" w:hAnsi="Trebuchet MS"/>
                <w:sz w:val="16"/>
                <w:szCs w:val="16"/>
              </w:rPr>
              <w:t xml:space="preserve"> practice</w:t>
            </w:r>
          </w:p>
          <w:p w14:paraId="2373AE10"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consilierea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privind</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proiectarea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planificarea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lastRenderedPageBreak/>
              <w:t>organizarea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testării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construcției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instalarea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întreținerea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structurilor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mașinilor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sistemelor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a </w:t>
            </w:r>
            <w:proofErr w:type="spellStart"/>
            <w:r w:rsidRPr="00E453EA">
              <w:rPr>
                <w:rFonts w:ascii="Trebuchet MS" w:hAnsi="Trebuchet MS"/>
                <w:sz w:val="16"/>
                <w:szCs w:val="16"/>
              </w:rPr>
              <w:t>sistemelor</w:t>
            </w:r>
            <w:proofErr w:type="spellEnd"/>
            <w:r w:rsidRPr="00E453EA">
              <w:rPr>
                <w:rFonts w:ascii="Trebuchet MS" w:hAnsi="Trebuchet MS"/>
                <w:sz w:val="16"/>
                <w:szCs w:val="16"/>
              </w:rPr>
              <w:t xml:space="preserve"> lor de </w:t>
            </w:r>
            <w:proofErr w:type="spellStart"/>
            <w:r w:rsidRPr="00E453EA">
              <w:rPr>
                <w:rFonts w:ascii="Trebuchet MS" w:hAnsi="Trebuchet MS"/>
                <w:sz w:val="16"/>
                <w:szCs w:val="16"/>
              </w:rPr>
              <w:t>componente</w:t>
            </w:r>
            <w:proofErr w:type="spellEnd"/>
          </w:p>
          <w:p w14:paraId="27E96C70"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planificarea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dirijarea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coordonarea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aspectelor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tehnice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științifice</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cercetare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dezvoltare</w:t>
            </w:r>
            <w:proofErr w:type="spellEnd"/>
          </w:p>
          <w:p w14:paraId="40F1C93F"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furnizarea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consultanță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sprijin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pentru</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guverne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organizații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întreprinderi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privește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aplicarea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rezultatelor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cercetării</w:t>
            </w:r>
            <w:proofErr w:type="spellEnd"/>
          </w:p>
          <w:p w14:paraId="16C25772"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planificarea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dirijarea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coordonarea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activităților</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cercetare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dezvoltare</w:t>
            </w:r>
            <w:proofErr w:type="spellEnd"/>
            <w:r w:rsidRPr="00E453EA">
              <w:rPr>
                <w:rFonts w:ascii="Trebuchet MS" w:hAnsi="Trebuchet MS"/>
                <w:sz w:val="16"/>
                <w:szCs w:val="16"/>
              </w:rPr>
              <w:t xml:space="preserve"> ale </w:t>
            </w:r>
            <w:proofErr w:type="spellStart"/>
            <w:r w:rsidRPr="00E453EA">
              <w:rPr>
                <w:rFonts w:ascii="Trebuchet MS" w:hAnsi="Trebuchet MS"/>
                <w:sz w:val="16"/>
                <w:szCs w:val="16"/>
              </w:rPr>
              <w:t>instituțiilor</w:t>
            </w:r>
            <w:proofErr w:type="spellEnd"/>
            <w:r w:rsidRPr="00E453EA">
              <w:rPr>
                <w:rFonts w:ascii="Trebuchet MS" w:hAnsi="Trebuchet MS"/>
                <w:sz w:val="16"/>
                <w:szCs w:val="16"/>
              </w:rPr>
              <w:t xml:space="preserve"> care </w:t>
            </w:r>
            <w:proofErr w:type="spellStart"/>
            <w:r w:rsidRPr="00E453EA">
              <w:rPr>
                <w:rFonts w:ascii="Trebuchet MS" w:hAnsi="Trebuchet MS"/>
                <w:sz w:val="16"/>
                <w:szCs w:val="16"/>
              </w:rPr>
              <w:t>furnizează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servicii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conexe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altor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organizații</w:t>
            </w:r>
            <w:proofErr w:type="spellEnd"/>
          </w:p>
          <w:p w14:paraId="38A176EC" w14:textId="77777777" w:rsidR="00873948" w:rsidRPr="00E453EA" w:rsidRDefault="00873948">
            <w:pPr>
              <w:pStyle w:val="ListParagraph"/>
              <w:numPr>
                <w:ilvl w:val="0"/>
                <w:numId w:val="27"/>
              </w:numPr>
              <w:spacing w:after="0" w:line="276" w:lineRule="auto"/>
              <w:ind w:left="406"/>
              <w:jc w:val="both"/>
              <w:textAlignment w:val="auto"/>
              <w:rPr>
                <w:rFonts w:ascii="Trebuchet MS" w:hAnsi="Trebuchet MS"/>
                <w:sz w:val="16"/>
                <w:szCs w:val="16"/>
              </w:rPr>
            </w:pPr>
            <w:proofErr w:type="spellStart"/>
            <w:r w:rsidRPr="00E453EA">
              <w:rPr>
                <w:rFonts w:ascii="Trebuchet MS" w:hAnsi="Trebuchet MS"/>
                <w:sz w:val="16"/>
                <w:szCs w:val="16"/>
              </w:rPr>
              <w:t>elaborarea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lucrări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rapoarte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științifice</w:t>
            </w:r>
            <w:proofErr w:type="spellEnd"/>
          </w:p>
          <w:p w14:paraId="255C12A7" w14:textId="77777777" w:rsidR="00873948" w:rsidRPr="00E453EA" w:rsidRDefault="00873948" w:rsidP="00163895">
            <w:pPr>
              <w:pStyle w:val="ListParagraph"/>
              <w:spacing w:line="276" w:lineRule="auto"/>
              <w:ind w:left="406"/>
              <w:jc w:val="both"/>
              <w:rPr>
                <w:rFonts w:ascii="Trebuchet MS" w:hAnsi="Trebuchet MS"/>
                <w:sz w:val="16"/>
                <w:szCs w:val="16"/>
              </w:rPr>
            </w:pPr>
          </w:p>
        </w:tc>
        <w:tc>
          <w:tcPr>
            <w:tcW w:w="524" w:type="pct"/>
          </w:tcPr>
          <w:p w14:paraId="58445F1E"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lastRenderedPageBreak/>
              <w:t>superioare</w:t>
            </w:r>
            <w:proofErr w:type="spellEnd"/>
          </w:p>
        </w:tc>
        <w:tc>
          <w:tcPr>
            <w:tcW w:w="1318" w:type="pct"/>
          </w:tcPr>
          <w:p w14:paraId="5201E28E"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lang w:val="ro-RO"/>
              </w:rPr>
              <w:t>CS I, CS II, IDT I, IDT II, profesor universitar, conferențiar universitar,</w:t>
            </w:r>
            <w:r w:rsidRPr="00E453EA">
              <w:rPr>
                <w:rFonts w:ascii="Trebuchet MS" w:hAnsi="Trebuchet MS"/>
                <w:sz w:val="16"/>
                <w:szCs w:val="16"/>
              </w:rPr>
              <w:t xml:space="preserve"> director,  </w:t>
            </w:r>
            <w:proofErr w:type="spellStart"/>
            <w:r w:rsidRPr="00E453EA">
              <w:rPr>
                <w:rFonts w:ascii="Trebuchet MS" w:hAnsi="Trebuchet MS"/>
                <w:sz w:val="16"/>
                <w:szCs w:val="16"/>
              </w:rPr>
              <w:t>administratori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membri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echipa</w:t>
            </w:r>
            <w:proofErr w:type="spellEnd"/>
            <w:r w:rsidRPr="00E453EA">
              <w:rPr>
                <w:rFonts w:ascii="Trebuchet MS" w:hAnsi="Trebuchet MS"/>
                <w:sz w:val="16"/>
                <w:szCs w:val="16"/>
              </w:rPr>
              <w:t xml:space="preserve"> de management pe </w:t>
            </w:r>
            <w:proofErr w:type="spellStart"/>
            <w:r w:rsidRPr="00E453EA">
              <w:rPr>
                <w:rFonts w:ascii="Trebuchet MS" w:hAnsi="Trebuchet MS"/>
                <w:sz w:val="16"/>
                <w:szCs w:val="16"/>
              </w:rPr>
              <w:t>funcţiile</w:t>
            </w:r>
            <w:proofErr w:type="spellEnd"/>
            <w:r w:rsidRPr="00E453EA">
              <w:rPr>
                <w:rFonts w:ascii="Trebuchet MS" w:hAnsi="Trebuchet MS"/>
                <w:sz w:val="16"/>
                <w:szCs w:val="16"/>
              </w:rPr>
              <w:t xml:space="preserve"> definite </w:t>
            </w:r>
            <w:proofErr w:type="spellStart"/>
            <w:r w:rsidRPr="00E453EA">
              <w:rPr>
                <w:rFonts w:ascii="Trebuchet MS" w:hAnsi="Trebuchet MS"/>
                <w:sz w:val="16"/>
                <w:szCs w:val="16"/>
              </w:rPr>
              <w:t>în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cererea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finanţare</w:t>
            </w:r>
            <w:proofErr w:type="spellEnd"/>
          </w:p>
        </w:tc>
        <w:tc>
          <w:tcPr>
            <w:tcW w:w="467" w:type="pct"/>
          </w:tcPr>
          <w:p w14:paraId="2D5D4791"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50</w:t>
            </w:r>
          </w:p>
        </w:tc>
      </w:tr>
      <w:tr w:rsidR="00873948" w:rsidRPr="00E453EA" w14:paraId="20D500FE" w14:textId="77777777" w:rsidTr="00E453EA">
        <w:tc>
          <w:tcPr>
            <w:tcW w:w="216" w:type="pct"/>
          </w:tcPr>
          <w:p w14:paraId="08C9B0BF"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 xml:space="preserve">2. </w:t>
            </w:r>
          </w:p>
        </w:tc>
        <w:tc>
          <w:tcPr>
            <w:tcW w:w="1066" w:type="pct"/>
          </w:tcPr>
          <w:p w14:paraId="3C8E4DA7"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Activități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presupun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cunoașterea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aprofundată</w:t>
            </w:r>
            <w:proofErr w:type="spellEnd"/>
            <w:r w:rsidRPr="00E453EA">
              <w:rPr>
                <w:rFonts w:ascii="Trebuchet MS" w:hAnsi="Trebuchet MS"/>
                <w:sz w:val="16"/>
                <w:szCs w:val="16"/>
              </w:rPr>
              <w:t xml:space="preserve"> a </w:t>
            </w:r>
            <w:proofErr w:type="spellStart"/>
            <w:r w:rsidRPr="00E453EA">
              <w:rPr>
                <w:rFonts w:ascii="Trebuchet MS" w:hAnsi="Trebuchet MS"/>
                <w:sz w:val="16"/>
                <w:szCs w:val="16"/>
              </w:rPr>
              <w:t>metodelor</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analiză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sinteză</w:t>
            </w:r>
            <w:proofErr w:type="spellEnd"/>
            <w:r w:rsidRPr="00E453EA">
              <w:rPr>
                <w:rFonts w:ascii="Trebuchet MS" w:hAnsi="Trebuchet MS"/>
                <w:sz w:val="16"/>
                <w:szCs w:val="16"/>
              </w:rPr>
              <w:t xml:space="preserve">, precum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abilități</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utilizare</w:t>
            </w:r>
            <w:proofErr w:type="spellEnd"/>
            <w:r w:rsidRPr="00E453EA">
              <w:rPr>
                <w:rFonts w:ascii="Trebuchet MS" w:hAnsi="Trebuchet MS"/>
                <w:sz w:val="16"/>
                <w:szCs w:val="16"/>
              </w:rPr>
              <w:t xml:space="preserve"> a </w:t>
            </w:r>
            <w:proofErr w:type="spellStart"/>
            <w:r w:rsidRPr="00E453EA">
              <w:rPr>
                <w:rFonts w:ascii="Trebuchet MS" w:hAnsi="Trebuchet MS"/>
                <w:sz w:val="16"/>
                <w:szCs w:val="16"/>
              </w:rPr>
              <w:t>acestora</w:t>
            </w:r>
            <w:proofErr w:type="spellEnd"/>
          </w:p>
        </w:tc>
        <w:tc>
          <w:tcPr>
            <w:tcW w:w="1409" w:type="pct"/>
          </w:tcPr>
          <w:p w14:paraId="3A45D756"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căutări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bibliografice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selectarea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materialelor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relevante</w:t>
            </w:r>
            <w:proofErr w:type="spellEnd"/>
            <w:r w:rsidRPr="00E453EA">
              <w:rPr>
                <w:rFonts w:ascii="Trebuchet MS" w:hAnsi="Trebuchet MS"/>
                <w:sz w:val="16"/>
                <w:szCs w:val="16"/>
              </w:rPr>
              <w:t xml:space="preserve"> din </w:t>
            </w:r>
            <w:proofErr w:type="spellStart"/>
            <w:r w:rsidRPr="00E453EA">
              <w:rPr>
                <w:rFonts w:ascii="Trebuchet MS" w:hAnsi="Trebuchet MS"/>
                <w:sz w:val="16"/>
                <w:szCs w:val="16"/>
              </w:rPr>
              <w:t>arhive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biblioteci</w:t>
            </w:r>
            <w:proofErr w:type="spellEnd"/>
          </w:p>
          <w:p w14:paraId="2462C5A7"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pregătirea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programelor</w:t>
            </w:r>
            <w:proofErr w:type="spellEnd"/>
            <w:r w:rsidRPr="00E453EA">
              <w:rPr>
                <w:rFonts w:ascii="Trebuchet MS" w:hAnsi="Trebuchet MS"/>
                <w:sz w:val="16"/>
                <w:szCs w:val="16"/>
              </w:rPr>
              <w:t xml:space="preserve"> de calculator</w:t>
            </w:r>
          </w:p>
          <w:p w14:paraId="7C454F1D"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experimente</w:t>
            </w:r>
            <w:proofErr w:type="spellEnd"/>
            <w:r w:rsidRPr="00E453EA">
              <w:rPr>
                <w:rFonts w:ascii="Trebuchet MS" w:hAnsi="Trebuchet MS"/>
                <w:sz w:val="16"/>
                <w:szCs w:val="16"/>
              </w:rPr>
              <w:t xml:space="preserve">, teste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analize</w:t>
            </w:r>
            <w:proofErr w:type="spellEnd"/>
          </w:p>
          <w:p w14:paraId="09F8F543"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furnizarea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asistență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tehnică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sprijin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cercetare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dezvoltare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sau</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testarea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prototipurilor</w:t>
            </w:r>
            <w:proofErr w:type="spellEnd"/>
          </w:p>
          <w:p w14:paraId="2EE5CA35"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operarea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întreținerea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repararea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echipamentelor</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cercetare</w:t>
            </w:r>
            <w:proofErr w:type="spellEnd"/>
          </w:p>
          <w:p w14:paraId="408B15F1"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pregătirea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materialelor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echipamentelor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pentru</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experimente</w:t>
            </w:r>
            <w:proofErr w:type="spellEnd"/>
            <w:r w:rsidRPr="00E453EA">
              <w:rPr>
                <w:rFonts w:ascii="Trebuchet MS" w:hAnsi="Trebuchet MS"/>
                <w:sz w:val="16"/>
                <w:szCs w:val="16"/>
              </w:rPr>
              <w:t xml:space="preserve">, teste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analize</w:t>
            </w:r>
            <w:proofErr w:type="spellEnd"/>
          </w:p>
          <w:p w14:paraId="32D58B5A"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înregistrarea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măsurătorilor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calcule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întocmirea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diagrame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tabele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grafice</w:t>
            </w:r>
            <w:proofErr w:type="spellEnd"/>
          </w:p>
          <w:p w14:paraId="454FDC81"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culegerea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informații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utilizând</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metode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științifice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acceptate</w:t>
            </w:r>
            <w:proofErr w:type="spellEnd"/>
          </w:p>
          <w:p w14:paraId="23CB0E6B"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asistarea</w:t>
            </w:r>
            <w:proofErr w:type="spellEnd"/>
            <w:r w:rsidRPr="00E453EA">
              <w:rPr>
                <w:rFonts w:ascii="Trebuchet MS" w:hAnsi="Trebuchet MS"/>
                <w:sz w:val="16"/>
                <w:szCs w:val="16"/>
              </w:rPr>
              <w:t xml:space="preserve"> la </w:t>
            </w:r>
            <w:proofErr w:type="spellStart"/>
            <w:r w:rsidRPr="00E453EA">
              <w:rPr>
                <w:rFonts w:ascii="Trebuchet MS" w:hAnsi="Trebuchet MS"/>
                <w:sz w:val="16"/>
                <w:szCs w:val="16"/>
              </w:rPr>
              <w:t>analiza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datelor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păstrarea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înregistrărilor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pregătirea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rapoartelor</w:t>
            </w:r>
            <w:proofErr w:type="spellEnd"/>
            <w:r w:rsidRPr="00E453EA">
              <w:rPr>
                <w:rFonts w:ascii="Trebuchet MS" w:hAnsi="Trebuchet MS"/>
                <w:sz w:val="16"/>
                <w:szCs w:val="16"/>
              </w:rPr>
              <w:t>.</w:t>
            </w:r>
          </w:p>
          <w:p w14:paraId="3FF4D246"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anchete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statistice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interviuri</w:t>
            </w:r>
            <w:proofErr w:type="spellEnd"/>
            <w:r w:rsidRPr="00E453EA">
              <w:rPr>
                <w:rFonts w:ascii="Trebuchet MS" w:hAnsi="Trebuchet MS"/>
                <w:sz w:val="16"/>
                <w:szCs w:val="16"/>
              </w:rPr>
              <w:t>.</w:t>
            </w:r>
          </w:p>
        </w:tc>
        <w:tc>
          <w:tcPr>
            <w:tcW w:w="524" w:type="pct"/>
          </w:tcPr>
          <w:p w14:paraId="2E339222"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superioare</w:t>
            </w:r>
            <w:proofErr w:type="spellEnd"/>
          </w:p>
        </w:tc>
        <w:tc>
          <w:tcPr>
            <w:tcW w:w="1318" w:type="pct"/>
          </w:tcPr>
          <w:p w14:paraId="0B79FFDE" w14:textId="002AC36E"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lang w:val="ro-RO"/>
              </w:rPr>
              <w:t>CS III, CS, IDT III, IDT, lector universitar, asistent universitar, şef program/proiect, responsabil juridic/tehnic / achiziții/ financiar / proiect</w:t>
            </w:r>
            <w:r w:rsidR="00887CCB" w:rsidRPr="00E453EA">
              <w:rPr>
                <w:rFonts w:ascii="Trebuchet MS" w:hAnsi="Trebuchet MS"/>
                <w:sz w:val="16"/>
                <w:szCs w:val="16"/>
                <w:lang w:val="ro-RO"/>
              </w:rPr>
              <w:t xml:space="preserve">, așa cum sunt </w:t>
            </w:r>
            <w:r w:rsidR="00887CCB" w:rsidRPr="00E453EA">
              <w:rPr>
                <w:rFonts w:ascii="Trebuchet MS" w:hAnsi="Trebuchet MS"/>
                <w:sz w:val="16"/>
                <w:szCs w:val="16"/>
              </w:rPr>
              <w:t xml:space="preserve">definite </w:t>
            </w:r>
            <w:proofErr w:type="spellStart"/>
            <w:r w:rsidR="00887CCB" w:rsidRPr="00E453EA">
              <w:rPr>
                <w:rFonts w:ascii="Trebuchet MS" w:hAnsi="Trebuchet MS"/>
                <w:sz w:val="16"/>
                <w:szCs w:val="16"/>
              </w:rPr>
              <w:t>în</w:t>
            </w:r>
            <w:proofErr w:type="spellEnd"/>
            <w:r w:rsidR="00887CCB" w:rsidRPr="00E453EA">
              <w:rPr>
                <w:rFonts w:ascii="Trebuchet MS" w:hAnsi="Trebuchet MS"/>
                <w:sz w:val="16"/>
                <w:szCs w:val="16"/>
              </w:rPr>
              <w:t xml:space="preserve"> </w:t>
            </w:r>
            <w:proofErr w:type="spellStart"/>
            <w:r w:rsidR="00887CCB" w:rsidRPr="00E453EA">
              <w:rPr>
                <w:rFonts w:ascii="Trebuchet MS" w:hAnsi="Trebuchet MS"/>
                <w:sz w:val="16"/>
                <w:szCs w:val="16"/>
              </w:rPr>
              <w:t>cererea</w:t>
            </w:r>
            <w:proofErr w:type="spellEnd"/>
            <w:r w:rsidR="00887CCB" w:rsidRPr="00E453EA">
              <w:rPr>
                <w:rFonts w:ascii="Trebuchet MS" w:hAnsi="Trebuchet MS"/>
                <w:sz w:val="16"/>
                <w:szCs w:val="16"/>
              </w:rPr>
              <w:t xml:space="preserve"> de  </w:t>
            </w:r>
            <w:proofErr w:type="spellStart"/>
            <w:r w:rsidR="00887CCB" w:rsidRPr="00E453EA">
              <w:rPr>
                <w:rFonts w:ascii="Trebuchet MS" w:hAnsi="Trebuchet MS"/>
                <w:sz w:val="16"/>
                <w:szCs w:val="16"/>
              </w:rPr>
              <w:t>finanţare</w:t>
            </w:r>
            <w:proofErr w:type="spellEnd"/>
          </w:p>
        </w:tc>
        <w:tc>
          <w:tcPr>
            <w:tcW w:w="467" w:type="pct"/>
          </w:tcPr>
          <w:p w14:paraId="62598F22"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35</w:t>
            </w:r>
          </w:p>
        </w:tc>
      </w:tr>
      <w:tr w:rsidR="00873948" w:rsidRPr="00E453EA" w14:paraId="2BCD5C8D" w14:textId="77777777" w:rsidTr="00E453EA">
        <w:tc>
          <w:tcPr>
            <w:tcW w:w="216" w:type="pct"/>
          </w:tcPr>
          <w:p w14:paraId="2693CA7F"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 xml:space="preserve">3. </w:t>
            </w:r>
          </w:p>
        </w:tc>
        <w:tc>
          <w:tcPr>
            <w:tcW w:w="1066" w:type="pct"/>
          </w:tcPr>
          <w:p w14:paraId="0ECC22C9"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Activități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presupun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cunoașterea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metodelor</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analiză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sinteză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a </w:t>
            </w:r>
            <w:proofErr w:type="spellStart"/>
            <w:r w:rsidRPr="00E453EA">
              <w:rPr>
                <w:rFonts w:ascii="Trebuchet MS" w:hAnsi="Trebuchet MS"/>
                <w:sz w:val="16"/>
                <w:szCs w:val="16"/>
              </w:rPr>
              <w:t>metodologiilor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cercetării</w:t>
            </w:r>
            <w:proofErr w:type="spellEnd"/>
            <w:r w:rsidRPr="00E453EA">
              <w:rPr>
                <w:rFonts w:ascii="Trebuchet MS" w:hAnsi="Trebuchet MS"/>
                <w:sz w:val="16"/>
                <w:szCs w:val="16"/>
              </w:rPr>
              <w:t xml:space="preserve">, precum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abilități</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utilizare</w:t>
            </w:r>
            <w:proofErr w:type="spellEnd"/>
            <w:r w:rsidRPr="00E453EA">
              <w:rPr>
                <w:rFonts w:ascii="Trebuchet MS" w:hAnsi="Trebuchet MS"/>
                <w:sz w:val="16"/>
                <w:szCs w:val="16"/>
              </w:rPr>
              <w:t xml:space="preserve"> a </w:t>
            </w:r>
            <w:proofErr w:type="spellStart"/>
            <w:r w:rsidRPr="00E453EA">
              <w:rPr>
                <w:rFonts w:ascii="Trebuchet MS" w:hAnsi="Trebuchet MS"/>
                <w:sz w:val="16"/>
                <w:szCs w:val="16"/>
              </w:rPr>
              <w:t>acestora</w:t>
            </w:r>
            <w:proofErr w:type="spellEnd"/>
          </w:p>
        </w:tc>
        <w:tc>
          <w:tcPr>
            <w:tcW w:w="1409" w:type="pct"/>
          </w:tcPr>
          <w:p w14:paraId="485F38C9"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căutări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bibliografice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selectarea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materialelor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relevante</w:t>
            </w:r>
            <w:proofErr w:type="spellEnd"/>
            <w:r w:rsidRPr="00E453EA">
              <w:rPr>
                <w:rFonts w:ascii="Trebuchet MS" w:hAnsi="Trebuchet MS"/>
                <w:sz w:val="16"/>
                <w:szCs w:val="16"/>
              </w:rPr>
              <w:t xml:space="preserve"> din </w:t>
            </w:r>
            <w:proofErr w:type="spellStart"/>
            <w:r w:rsidRPr="00E453EA">
              <w:rPr>
                <w:rFonts w:ascii="Trebuchet MS" w:hAnsi="Trebuchet MS"/>
                <w:sz w:val="16"/>
                <w:szCs w:val="16"/>
              </w:rPr>
              <w:t>arhive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biblioteci</w:t>
            </w:r>
            <w:proofErr w:type="spellEnd"/>
          </w:p>
          <w:p w14:paraId="0812409A"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pregătirea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programelor</w:t>
            </w:r>
            <w:proofErr w:type="spellEnd"/>
            <w:r w:rsidRPr="00E453EA">
              <w:rPr>
                <w:rFonts w:ascii="Trebuchet MS" w:hAnsi="Trebuchet MS"/>
                <w:sz w:val="16"/>
                <w:szCs w:val="16"/>
              </w:rPr>
              <w:t xml:space="preserve"> de calculator</w:t>
            </w:r>
          </w:p>
          <w:p w14:paraId="3F4515A8"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experimente</w:t>
            </w:r>
            <w:proofErr w:type="spellEnd"/>
            <w:r w:rsidRPr="00E453EA">
              <w:rPr>
                <w:rFonts w:ascii="Trebuchet MS" w:hAnsi="Trebuchet MS"/>
                <w:sz w:val="16"/>
                <w:szCs w:val="16"/>
              </w:rPr>
              <w:t xml:space="preserve">, teste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analize</w:t>
            </w:r>
            <w:proofErr w:type="spellEnd"/>
          </w:p>
          <w:p w14:paraId="585CB355"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furnizarea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asistență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tehnică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sprijin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cercetare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dezvoltare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sau</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testarea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prototipurilor</w:t>
            </w:r>
            <w:proofErr w:type="spellEnd"/>
          </w:p>
          <w:p w14:paraId="7758B3E5"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lastRenderedPageBreak/>
              <w:t>înregistrarea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măsurătorilor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calcule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întocmirea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diagrame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tabele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grafice</w:t>
            </w:r>
            <w:proofErr w:type="spellEnd"/>
          </w:p>
          <w:p w14:paraId="20FA473D"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culegerea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informații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utilizând</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metode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științifice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acceptate</w:t>
            </w:r>
            <w:proofErr w:type="spellEnd"/>
          </w:p>
          <w:p w14:paraId="3C8BAA21"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asistarea</w:t>
            </w:r>
            <w:proofErr w:type="spellEnd"/>
            <w:r w:rsidRPr="00E453EA">
              <w:rPr>
                <w:rFonts w:ascii="Trebuchet MS" w:hAnsi="Trebuchet MS"/>
                <w:sz w:val="16"/>
                <w:szCs w:val="16"/>
              </w:rPr>
              <w:t xml:space="preserve"> la </w:t>
            </w:r>
            <w:proofErr w:type="spellStart"/>
            <w:r w:rsidRPr="00E453EA">
              <w:rPr>
                <w:rFonts w:ascii="Trebuchet MS" w:hAnsi="Trebuchet MS"/>
                <w:sz w:val="16"/>
                <w:szCs w:val="16"/>
              </w:rPr>
              <w:t>analiza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datelor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păstrarea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înregistrărilor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pregătirea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rapoartelor</w:t>
            </w:r>
            <w:proofErr w:type="spellEnd"/>
            <w:r w:rsidRPr="00E453EA">
              <w:rPr>
                <w:rFonts w:ascii="Trebuchet MS" w:hAnsi="Trebuchet MS"/>
                <w:sz w:val="16"/>
                <w:szCs w:val="16"/>
              </w:rPr>
              <w:t>.</w:t>
            </w:r>
          </w:p>
          <w:p w14:paraId="550A8BF4"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efectuarea</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anchete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statistice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interviuri</w:t>
            </w:r>
            <w:proofErr w:type="spellEnd"/>
            <w:r w:rsidRPr="00E453EA">
              <w:rPr>
                <w:rFonts w:ascii="Trebuchet MS" w:hAnsi="Trebuchet MS"/>
                <w:sz w:val="16"/>
                <w:szCs w:val="16"/>
              </w:rPr>
              <w:t>.</w:t>
            </w:r>
          </w:p>
        </w:tc>
        <w:tc>
          <w:tcPr>
            <w:tcW w:w="524" w:type="pct"/>
          </w:tcPr>
          <w:p w14:paraId="10A7F2EC"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lastRenderedPageBreak/>
              <w:t>superioare</w:t>
            </w:r>
            <w:proofErr w:type="spellEnd"/>
          </w:p>
        </w:tc>
        <w:tc>
          <w:tcPr>
            <w:tcW w:w="1318" w:type="pct"/>
          </w:tcPr>
          <w:p w14:paraId="161F1510" w14:textId="0000CBBF"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Asistent</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cercetare</w:t>
            </w:r>
            <w:proofErr w:type="spellEnd"/>
            <w:r w:rsidRPr="00E453EA">
              <w:rPr>
                <w:rFonts w:ascii="Trebuchet MS" w:hAnsi="Trebuchet MS"/>
                <w:sz w:val="16"/>
                <w:szCs w:val="16"/>
              </w:rPr>
              <w:t xml:space="preserve">, doctorand, </w:t>
            </w:r>
            <w:proofErr w:type="spellStart"/>
            <w:r w:rsidRPr="00E453EA">
              <w:rPr>
                <w:rFonts w:ascii="Trebuchet MS" w:hAnsi="Trebuchet MS"/>
                <w:sz w:val="16"/>
                <w:szCs w:val="16"/>
              </w:rPr>
              <w:t>masterand</w:t>
            </w:r>
            <w:proofErr w:type="spellEnd"/>
            <w:r w:rsidR="00887CCB" w:rsidRPr="00E453EA">
              <w:rPr>
                <w:rFonts w:ascii="Trebuchet MS" w:hAnsi="Trebuchet MS"/>
                <w:sz w:val="16"/>
                <w:szCs w:val="16"/>
              </w:rPr>
              <w:t xml:space="preserve">, </w:t>
            </w:r>
            <w:r w:rsidR="00887CCB" w:rsidRPr="00E453EA">
              <w:rPr>
                <w:rFonts w:ascii="Trebuchet MS" w:hAnsi="Trebuchet MS"/>
                <w:sz w:val="16"/>
                <w:szCs w:val="16"/>
                <w:lang w:val="ro-RO"/>
              </w:rPr>
              <w:t xml:space="preserve">așa cum sunt </w:t>
            </w:r>
            <w:r w:rsidR="00887CCB" w:rsidRPr="00E453EA">
              <w:rPr>
                <w:rFonts w:ascii="Trebuchet MS" w:hAnsi="Trebuchet MS"/>
                <w:sz w:val="16"/>
                <w:szCs w:val="16"/>
              </w:rPr>
              <w:t xml:space="preserve">definite </w:t>
            </w:r>
            <w:proofErr w:type="spellStart"/>
            <w:r w:rsidR="00887CCB" w:rsidRPr="00E453EA">
              <w:rPr>
                <w:rFonts w:ascii="Trebuchet MS" w:hAnsi="Trebuchet MS"/>
                <w:sz w:val="16"/>
                <w:szCs w:val="16"/>
              </w:rPr>
              <w:t>în</w:t>
            </w:r>
            <w:proofErr w:type="spellEnd"/>
            <w:r w:rsidR="00887CCB" w:rsidRPr="00E453EA">
              <w:rPr>
                <w:rFonts w:ascii="Trebuchet MS" w:hAnsi="Trebuchet MS"/>
                <w:sz w:val="16"/>
                <w:szCs w:val="16"/>
              </w:rPr>
              <w:t xml:space="preserve"> </w:t>
            </w:r>
            <w:proofErr w:type="spellStart"/>
            <w:r w:rsidR="00887CCB" w:rsidRPr="00E453EA">
              <w:rPr>
                <w:rFonts w:ascii="Trebuchet MS" w:hAnsi="Trebuchet MS"/>
                <w:sz w:val="16"/>
                <w:szCs w:val="16"/>
              </w:rPr>
              <w:t>cererea</w:t>
            </w:r>
            <w:proofErr w:type="spellEnd"/>
            <w:r w:rsidR="00887CCB" w:rsidRPr="00E453EA">
              <w:rPr>
                <w:rFonts w:ascii="Trebuchet MS" w:hAnsi="Trebuchet MS"/>
                <w:sz w:val="16"/>
                <w:szCs w:val="16"/>
              </w:rPr>
              <w:t xml:space="preserve"> de  </w:t>
            </w:r>
            <w:proofErr w:type="spellStart"/>
            <w:r w:rsidR="00887CCB" w:rsidRPr="00E453EA">
              <w:rPr>
                <w:rFonts w:ascii="Trebuchet MS" w:hAnsi="Trebuchet MS"/>
                <w:sz w:val="16"/>
                <w:szCs w:val="16"/>
              </w:rPr>
              <w:t>finanţare</w:t>
            </w:r>
            <w:proofErr w:type="spellEnd"/>
          </w:p>
        </w:tc>
        <w:tc>
          <w:tcPr>
            <w:tcW w:w="467" w:type="pct"/>
          </w:tcPr>
          <w:p w14:paraId="4177CBAC"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25</w:t>
            </w:r>
          </w:p>
        </w:tc>
      </w:tr>
      <w:tr w:rsidR="00873948" w:rsidRPr="00E453EA" w14:paraId="350A18DA" w14:textId="77777777" w:rsidTr="00E453EA">
        <w:tc>
          <w:tcPr>
            <w:tcW w:w="216" w:type="pct"/>
          </w:tcPr>
          <w:p w14:paraId="0064699D"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4.</w:t>
            </w:r>
          </w:p>
        </w:tc>
        <w:tc>
          <w:tcPr>
            <w:tcW w:w="1066" w:type="pct"/>
          </w:tcPr>
          <w:p w14:paraId="27345E17"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Activități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suport</w:t>
            </w:r>
            <w:proofErr w:type="spellEnd"/>
          </w:p>
        </w:tc>
        <w:tc>
          <w:tcPr>
            <w:tcW w:w="1409" w:type="pct"/>
          </w:tcPr>
          <w:p w14:paraId="1F0A58B9"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asigurarea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funțiilor</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suport</w:t>
            </w:r>
            <w:proofErr w:type="spellEnd"/>
            <w:r w:rsidRPr="00E453EA">
              <w:rPr>
                <w:rFonts w:ascii="Trebuchet MS" w:hAnsi="Trebuchet MS"/>
                <w:sz w:val="16"/>
                <w:szCs w:val="16"/>
              </w:rPr>
              <w:t xml:space="preserve"> de </w:t>
            </w:r>
            <w:proofErr w:type="spellStart"/>
            <w:r w:rsidRPr="00E453EA">
              <w:rPr>
                <w:rFonts w:ascii="Trebuchet MS" w:hAnsi="Trebuchet MS"/>
                <w:sz w:val="16"/>
                <w:szCs w:val="16"/>
              </w:rPr>
              <w:t>planificare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informațional</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financiar</w:t>
            </w:r>
            <w:proofErr w:type="spellEnd"/>
          </w:p>
          <w:p w14:paraId="6AFA7431"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asigurarea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serviciilor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juridice</w:t>
            </w:r>
            <w:proofErr w:type="spellEnd"/>
            <w:r w:rsidRPr="00E453EA">
              <w:rPr>
                <w:rFonts w:ascii="Trebuchet MS" w:hAnsi="Trebuchet MS"/>
                <w:sz w:val="16"/>
                <w:szCs w:val="16"/>
              </w:rPr>
              <w:t xml:space="preserve"> </w:t>
            </w:r>
          </w:p>
          <w:p w14:paraId="2548647A" w14:textId="77777777" w:rsidR="00873948" w:rsidRPr="00E453EA" w:rsidRDefault="00873948">
            <w:pPr>
              <w:pStyle w:val="ListParagraph"/>
              <w:numPr>
                <w:ilvl w:val="0"/>
                <w:numId w:val="28"/>
              </w:numPr>
              <w:spacing w:after="0" w:line="276" w:lineRule="auto"/>
              <w:ind w:left="391"/>
              <w:jc w:val="both"/>
              <w:textAlignment w:val="auto"/>
              <w:rPr>
                <w:rFonts w:ascii="Trebuchet MS" w:hAnsi="Trebuchet MS"/>
                <w:sz w:val="16"/>
                <w:szCs w:val="16"/>
              </w:rPr>
            </w:pPr>
            <w:proofErr w:type="spellStart"/>
            <w:r w:rsidRPr="00E453EA">
              <w:rPr>
                <w:rFonts w:ascii="Trebuchet MS" w:hAnsi="Trebuchet MS"/>
                <w:sz w:val="16"/>
                <w:szCs w:val="16"/>
              </w:rPr>
              <w:t>asistență</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asamblarea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modificarea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întreținerea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repararea</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echipamentului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instrumentelor</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științifice</w:t>
            </w:r>
            <w:proofErr w:type="spellEnd"/>
            <w:r w:rsidRPr="00E453EA">
              <w:rPr>
                <w:rFonts w:ascii="Trebuchet MS" w:hAnsi="Trebuchet MS"/>
                <w:sz w:val="16"/>
                <w:szCs w:val="16"/>
              </w:rPr>
              <w:t xml:space="preserve"> </w:t>
            </w:r>
          </w:p>
        </w:tc>
        <w:tc>
          <w:tcPr>
            <w:tcW w:w="524" w:type="pct"/>
          </w:tcPr>
          <w:p w14:paraId="65436CB7" w14:textId="77777777" w:rsidR="00873948" w:rsidRPr="00E453EA" w:rsidRDefault="00873948" w:rsidP="00163895">
            <w:pPr>
              <w:spacing w:line="276" w:lineRule="auto"/>
              <w:jc w:val="both"/>
              <w:rPr>
                <w:rFonts w:ascii="Trebuchet MS" w:hAnsi="Trebuchet MS"/>
                <w:sz w:val="16"/>
                <w:szCs w:val="16"/>
              </w:rPr>
            </w:pPr>
            <w:proofErr w:type="spellStart"/>
            <w:r w:rsidRPr="00E453EA">
              <w:rPr>
                <w:rFonts w:ascii="Trebuchet MS" w:hAnsi="Trebuchet MS"/>
                <w:sz w:val="16"/>
                <w:szCs w:val="16"/>
              </w:rPr>
              <w:t>Superioare</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și</w:t>
            </w:r>
            <w:proofErr w:type="spellEnd"/>
            <w:r w:rsidRPr="00E453EA">
              <w:rPr>
                <w:rFonts w:ascii="Trebuchet MS" w:hAnsi="Trebuchet MS"/>
                <w:sz w:val="16"/>
                <w:szCs w:val="16"/>
              </w:rPr>
              <w:t>/</w:t>
            </w:r>
            <w:proofErr w:type="spellStart"/>
            <w:r w:rsidRPr="00E453EA">
              <w:rPr>
                <w:rFonts w:ascii="Trebuchet MS" w:hAnsi="Trebuchet MS"/>
                <w:sz w:val="16"/>
                <w:szCs w:val="16"/>
              </w:rPr>
              <w:t>sau</w:t>
            </w:r>
            <w:proofErr w:type="spellEnd"/>
            <w:r w:rsidRPr="00E453EA">
              <w:rPr>
                <w:rFonts w:ascii="Trebuchet MS" w:hAnsi="Trebuchet MS"/>
                <w:sz w:val="16"/>
                <w:szCs w:val="16"/>
              </w:rPr>
              <w:t xml:space="preserve"> </w:t>
            </w:r>
            <w:proofErr w:type="spellStart"/>
            <w:r w:rsidRPr="00E453EA">
              <w:rPr>
                <w:rFonts w:ascii="Trebuchet MS" w:hAnsi="Trebuchet MS"/>
                <w:sz w:val="16"/>
                <w:szCs w:val="16"/>
              </w:rPr>
              <w:t>medii</w:t>
            </w:r>
            <w:proofErr w:type="spellEnd"/>
          </w:p>
        </w:tc>
        <w:tc>
          <w:tcPr>
            <w:tcW w:w="1318" w:type="pct"/>
          </w:tcPr>
          <w:p w14:paraId="66AEA4DC" w14:textId="5D2AA536"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 xml:space="preserve">TI, TII, TIII, TS, student, </w:t>
            </w:r>
            <w:proofErr w:type="spellStart"/>
            <w:r w:rsidRPr="00E453EA">
              <w:rPr>
                <w:rFonts w:ascii="Trebuchet MS" w:hAnsi="Trebuchet MS"/>
                <w:sz w:val="16"/>
                <w:szCs w:val="16"/>
              </w:rPr>
              <w:t>altele</w:t>
            </w:r>
            <w:proofErr w:type="spellEnd"/>
            <w:r w:rsidR="00887CCB" w:rsidRPr="00E453EA">
              <w:rPr>
                <w:rFonts w:ascii="Trebuchet MS" w:hAnsi="Trebuchet MS"/>
                <w:sz w:val="16"/>
                <w:szCs w:val="16"/>
              </w:rPr>
              <w:t xml:space="preserve">, </w:t>
            </w:r>
            <w:r w:rsidR="00887CCB" w:rsidRPr="00E453EA">
              <w:rPr>
                <w:rFonts w:ascii="Trebuchet MS" w:hAnsi="Trebuchet MS"/>
                <w:sz w:val="16"/>
                <w:szCs w:val="16"/>
                <w:lang w:val="ro-RO"/>
              </w:rPr>
              <w:t xml:space="preserve">așa cum sunt </w:t>
            </w:r>
            <w:r w:rsidR="00887CCB" w:rsidRPr="00E453EA">
              <w:rPr>
                <w:rFonts w:ascii="Trebuchet MS" w:hAnsi="Trebuchet MS"/>
                <w:sz w:val="16"/>
                <w:szCs w:val="16"/>
              </w:rPr>
              <w:t xml:space="preserve">definite </w:t>
            </w:r>
            <w:proofErr w:type="spellStart"/>
            <w:r w:rsidR="00887CCB" w:rsidRPr="00E453EA">
              <w:rPr>
                <w:rFonts w:ascii="Trebuchet MS" w:hAnsi="Trebuchet MS"/>
                <w:sz w:val="16"/>
                <w:szCs w:val="16"/>
              </w:rPr>
              <w:t>în</w:t>
            </w:r>
            <w:proofErr w:type="spellEnd"/>
            <w:r w:rsidR="00887CCB" w:rsidRPr="00E453EA">
              <w:rPr>
                <w:rFonts w:ascii="Trebuchet MS" w:hAnsi="Trebuchet MS"/>
                <w:sz w:val="16"/>
                <w:szCs w:val="16"/>
              </w:rPr>
              <w:t xml:space="preserve"> </w:t>
            </w:r>
            <w:proofErr w:type="spellStart"/>
            <w:r w:rsidR="00887CCB" w:rsidRPr="00E453EA">
              <w:rPr>
                <w:rFonts w:ascii="Trebuchet MS" w:hAnsi="Trebuchet MS"/>
                <w:sz w:val="16"/>
                <w:szCs w:val="16"/>
              </w:rPr>
              <w:t>cererea</w:t>
            </w:r>
            <w:proofErr w:type="spellEnd"/>
            <w:r w:rsidR="00887CCB" w:rsidRPr="00E453EA">
              <w:rPr>
                <w:rFonts w:ascii="Trebuchet MS" w:hAnsi="Trebuchet MS"/>
                <w:sz w:val="16"/>
                <w:szCs w:val="16"/>
              </w:rPr>
              <w:t xml:space="preserve"> de </w:t>
            </w:r>
            <w:proofErr w:type="spellStart"/>
            <w:r w:rsidR="00887CCB" w:rsidRPr="00E453EA">
              <w:rPr>
                <w:rFonts w:ascii="Trebuchet MS" w:hAnsi="Trebuchet MS"/>
                <w:sz w:val="16"/>
                <w:szCs w:val="16"/>
              </w:rPr>
              <w:t>finanţare</w:t>
            </w:r>
            <w:proofErr w:type="spellEnd"/>
          </w:p>
        </w:tc>
        <w:tc>
          <w:tcPr>
            <w:tcW w:w="467" w:type="pct"/>
          </w:tcPr>
          <w:p w14:paraId="54F779D7" w14:textId="77777777" w:rsidR="00873948" w:rsidRPr="00E453EA" w:rsidRDefault="00873948" w:rsidP="00163895">
            <w:pPr>
              <w:spacing w:line="276" w:lineRule="auto"/>
              <w:jc w:val="both"/>
              <w:rPr>
                <w:rFonts w:ascii="Trebuchet MS" w:hAnsi="Trebuchet MS"/>
                <w:sz w:val="16"/>
                <w:szCs w:val="16"/>
              </w:rPr>
            </w:pPr>
            <w:r w:rsidRPr="00E453EA">
              <w:rPr>
                <w:rFonts w:ascii="Trebuchet MS" w:hAnsi="Trebuchet MS"/>
                <w:sz w:val="16"/>
                <w:szCs w:val="16"/>
              </w:rPr>
              <w:t>15</w:t>
            </w:r>
          </w:p>
        </w:tc>
      </w:tr>
    </w:tbl>
    <w:p w14:paraId="0CCAC486" w14:textId="77777777" w:rsidR="00873948" w:rsidRPr="005402C9" w:rsidRDefault="00873948" w:rsidP="006401C9">
      <w:pPr>
        <w:spacing w:before="0" w:after="60" w:line="276" w:lineRule="auto"/>
        <w:jc w:val="both"/>
        <w:rPr>
          <w:sz w:val="22"/>
          <w:szCs w:val="22"/>
        </w:rPr>
      </w:pPr>
    </w:p>
    <w:p w14:paraId="680F8983" w14:textId="4DEBC741" w:rsidR="006006B5" w:rsidRPr="005402C9" w:rsidRDefault="00323F9D" w:rsidP="006401C9">
      <w:pPr>
        <w:spacing w:before="0" w:after="60" w:line="276" w:lineRule="auto"/>
        <w:jc w:val="both"/>
        <w:rPr>
          <w:sz w:val="22"/>
          <w:szCs w:val="22"/>
        </w:rPr>
      </w:pPr>
      <w:r w:rsidRPr="005402C9">
        <w:rPr>
          <w:sz w:val="22"/>
          <w:szCs w:val="22"/>
        </w:rPr>
        <w:t>În cazul în care solicitantul depune mai multe cereri de finanțare</w:t>
      </w:r>
      <w:r w:rsidR="006006B5" w:rsidRPr="005402C9">
        <w:rPr>
          <w:sz w:val="22"/>
          <w:szCs w:val="22"/>
        </w:rPr>
        <w:t xml:space="preserve">, </w:t>
      </w:r>
      <w:r w:rsidR="006D7E74" w:rsidRPr="005402C9">
        <w:rPr>
          <w:sz w:val="22"/>
          <w:szCs w:val="22"/>
        </w:rPr>
        <w:t>acesta</w:t>
      </w:r>
      <w:r w:rsidRPr="005402C9">
        <w:rPr>
          <w:sz w:val="22"/>
          <w:szCs w:val="22"/>
        </w:rPr>
        <w:t xml:space="preserve"> se va asigura că activitățile</w:t>
      </w:r>
      <w:r w:rsidR="006D7E74" w:rsidRPr="005402C9">
        <w:rPr>
          <w:sz w:val="22"/>
          <w:szCs w:val="22"/>
        </w:rPr>
        <w:t xml:space="preserve"> subproiectelor</w:t>
      </w:r>
      <w:r w:rsidR="008D4CC9" w:rsidRPr="005402C9">
        <w:rPr>
          <w:sz w:val="22"/>
          <w:szCs w:val="22"/>
        </w:rPr>
        <w:t>, inclusiv achizițiile,</w:t>
      </w:r>
      <w:r w:rsidRPr="005402C9">
        <w:rPr>
          <w:sz w:val="22"/>
          <w:szCs w:val="22"/>
        </w:rPr>
        <w:t xml:space="preserve"> </w:t>
      </w:r>
      <w:r w:rsidR="008D4CC9" w:rsidRPr="005402C9">
        <w:rPr>
          <w:sz w:val="22"/>
          <w:szCs w:val="22"/>
        </w:rPr>
        <w:t>nu se suprapun</w:t>
      </w:r>
      <w:r w:rsidR="006D7E74" w:rsidRPr="005402C9">
        <w:rPr>
          <w:sz w:val="22"/>
          <w:szCs w:val="22"/>
        </w:rPr>
        <w:t xml:space="preserve">. </w:t>
      </w:r>
      <w:r w:rsidR="00E97B6D" w:rsidRPr="005402C9">
        <w:rPr>
          <w:sz w:val="22"/>
          <w:szCs w:val="22"/>
        </w:rPr>
        <w:t>Solicitanții se angajează să țină o e</w:t>
      </w:r>
      <w:r w:rsidR="006006B5" w:rsidRPr="005402C9">
        <w:rPr>
          <w:sz w:val="22"/>
          <w:szCs w:val="22"/>
        </w:rPr>
        <w:t>videnț</w:t>
      </w:r>
      <w:r w:rsidR="00E97B6D" w:rsidRPr="005402C9">
        <w:rPr>
          <w:sz w:val="22"/>
          <w:szCs w:val="22"/>
        </w:rPr>
        <w:t>ă</w:t>
      </w:r>
      <w:r w:rsidR="006006B5" w:rsidRPr="005402C9">
        <w:rPr>
          <w:sz w:val="22"/>
          <w:szCs w:val="22"/>
        </w:rPr>
        <w:t xml:space="preserve"> contabilă </w:t>
      </w:r>
      <w:r w:rsidR="007950EE" w:rsidRPr="005402C9">
        <w:rPr>
          <w:sz w:val="22"/>
          <w:szCs w:val="22"/>
        </w:rPr>
        <w:t xml:space="preserve">distinctă pentru fiecare subproiect pe care îl implementează și </w:t>
      </w:r>
      <w:r w:rsidR="006E484B" w:rsidRPr="005402C9">
        <w:rPr>
          <w:sz w:val="22"/>
          <w:szCs w:val="22"/>
        </w:rPr>
        <w:t>se</w:t>
      </w:r>
      <w:r w:rsidR="007950EE" w:rsidRPr="005402C9">
        <w:rPr>
          <w:sz w:val="22"/>
          <w:szCs w:val="22"/>
        </w:rPr>
        <w:t xml:space="preserve"> asigur</w:t>
      </w:r>
      <w:r w:rsidR="006E484B" w:rsidRPr="005402C9">
        <w:rPr>
          <w:sz w:val="22"/>
          <w:szCs w:val="22"/>
        </w:rPr>
        <w:t>ă</w:t>
      </w:r>
      <w:r w:rsidR="007950EE" w:rsidRPr="005402C9">
        <w:rPr>
          <w:sz w:val="22"/>
          <w:szCs w:val="22"/>
        </w:rPr>
        <w:t xml:space="preserve"> </w:t>
      </w:r>
      <w:r w:rsidR="006E484B" w:rsidRPr="005402C9">
        <w:rPr>
          <w:sz w:val="22"/>
          <w:szCs w:val="22"/>
        </w:rPr>
        <w:t xml:space="preserve">de </w:t>
      </w:r>
      <w:r w:rsidR="007950EE" w:rsidRPr="005402C9">
        <w:rPr>
          <w:sz w:val="22"/>
          <w:szCs w:val="22"/>
        </w:rPr>
        <w:t>evitarea suprapunerii activităților.</w:t>
      </w:r>
    </w:p>
    <w:p w14:paraId="1F4317B2" w14:textId="77777777" w:rsidR="007950EE" w:rsidRPr="005402C9" w:rsidRDefault="007950EE" w:rsidP="006401C9">
      <w:pPr>
        <w:spacing w:before="0" w:after="60" w:line="276" w:lineRule="auto"/>
        <w:jc w:val="both"/>
        <w:rPr>
          <w:sz w:val="22"/>
          <w:szCs w:val="22"/>
        </w:rPr>
      </w:pPr>
    </w:p>
    <w:p w14:paraId="119E2B8E" w14:textId="211F0C0D" w:rsidR="006401C9" w:rsidRPr="005402C9" w:rsidRDefault="006401C9" w:rsidP="006401C9">
      <w:pPr>
        <w:spacing w:before="0" w:after="60" w:line="276" w:lineRule="auto"/>
        <w:jc w:val="both"/>
        <w:rPr>
          <w:sz w:val="22"/>
          <w:szCs w:val="22"/>
        </w:rPr>
      </w:pPr>
      <w:r w:rsidRPr="005402C9">
        <w:rPr>
          <w:sz w:val="22"/>
          <w:szCs w:val="22"/>
        </w:rPr>
        <w:t>Categoriile de cheltuieli eligibile în cadrul acestui apel de proiecte sunt următoarele:</w:t>
      </w:r>
    </w:p>
    <w:p w14:paraId="5447BD39" w14:textId="77777777" w:rsidR="00E20EE7" w:rsidRPr="005402C9" w:rsidRDefault="00E20EE7">
      <w:pPr>
        <w:pStyle w:val="ListParagraph"/>
        <w:numPr>
          <w:ilvl w:val="1"/>
          <w:numId w:val="12"/>
        </w:numPr>
        <w:suppressAutoHyphens w:val="0"/>
        <w:spacing w:line="276" w:lineRule="auto"/>
        <w:jc w:val="both"/>
        <w:textAlignment w:val="auto"/>
        <w:rPr>
          <w:rFonts w:ascii="Trebuchet MS" w:hAnsi="Trebuchet MS"/>
          <w:lang w:val="ro-RO"/>
        </w:rPr>
      </w:pPr>
      <w:r w:rsidRPr="005402C9">
        <w:rPr>
          <w:rFonts w:ascii="Trebuchet MS" w:hAnsi="Trebuchet MS"/>
          <w:lang w:val="ro-RO"/>
        </w:rPr>
        <w:t>costurile cu personalul: cercetători, tehnicieni și alți membri ai personalului auxiliar, în măsura în care aceștia sunt angajați în subproiect;</w:t>
      </w:r>
    </w:p>
    <w:p w14:paraId="5F3311F7" w14:textId="77777777" w:rsidR="00E20EE7" w:rsidRPr="005402C9" w:rsidRDefault="00E20EE7">
      <w:pPr>
        <w:pStyle w:val="ListParagraph"/>
        <w:numPr>
          <w:ilvl w:val="1"/>
          <w:numId w:val="12"/>
        </w:numPr>
        <w:suppressAutoHyphens w:val="0"/>
        <w:spacing w:line="276" w:lineRule="auto"/>
        <w:jc w:val="both"/>
        <w:textAlignment w:val="auto"/>
        <w:rPr>
          <w:rFonts w:ascii="Trebuchet MS" w:hAnsi="Trebuchet MS"/>
          <w:lang w:val="ro-RO"/>
        </w:rPr>
      </w:pPr>
      <w:r w:rsidRPr="005402C9">
        <w:rPr>
          <w:rFonts w:ascii="Trebuchet MS" w:hAnsi="Trebuchet MS"/>
          <w:lang w:val="ro-RO"/>
        </w:rPr>
        <w:t>costurile instrumentelor și ale echipamentelor, în măsura în care acestea sunt utilizate în cadrul subproiectului și pe durata acestei utilizări. În cazul în care aceste instrumente și echipamente nu sunt folosite pe întreaga lor durată de viață în subproiect, sunt considerate eligibile doar costurile de amortizare corespunzătoare duratei subproiectului, calculate pe baza principiilor contabile general acceptate;</w:t>
      </w:r>
    </w:p>
    <w:p w14:paraId="45451DE7" w14:textId="77777777" w:rsidR="00E20EE7" w:rsidRPr="005402C9" w:rsidRDefault="00E20EE7">
      <w:pPr>
        <w:pStyle w:val="ListParagraph"/>
        <w:numPr>
          <w:ilvl w:val="1"/>
          <w:numId w:val="12"/>
        </w:numPr>
        <w:suppressAutoHyphens w:val="0"/>
        <w:spacing w:line="276" w:lineRule="auto"/>
        <w:jc w:val="both"/>
        <w:textAlignment w:val="auto"/>
        <w:rPr>
          <w:rFonts w:ascii="Trebuchet MS" w:hAnsi="Trebuchet MS"/>
          <w:lang w:val="ro-RO"/>
        </w:rPr>
      </w:pPr>
      <w:r w:rsidRPr="005402C9">
        <w:rPr>
          <w:rFonts w:ascii="Trebuchet MS" w:hAnsi="Trebuchet MS"/>
          <w:lang w:val="ro-RO"/>
        </w:rPr>
        <w:t>costurile cu clădirile și terenurile, în măsura utilizării acestora în cadrul subproiectului și pe durata perioadei acestei utilizări. În ceea ce privește clădirile, sunt considerate eligibile doar costurile de amortizare corespunzătoare duratei subproiectului, calculate pe baza principiilor contabile general acceptate. În cazul terenurilor, sunt eligibile costurile transferului comercial sau costurile de capital efectiv suportate;</w:t>
      </w:r>
    </w:p>
    <w:p w14:paraId="0798F359" w14:textId="77777777" w:rsidR="00E20EE7" w:rsidRPr="005402C9" w:rsidRDefault="00E20EE7">
      <w:pPr>
        <w:pStyle w:val="ListParagraph"/>
        <w:numPr>
          <w:ilvl w:val="1"/>
          <w:numId w:val="12"/>
        </w:numPr>
        <w:suppressAutoHyphens w:val="0"/>
        <w:spacing w:line="276" w:lineRule="auto"/>
        <w:jc w:val="both"/>
        <w:textAlignment w:val="auto"/>
        <w:rPr>
          <w:rFonts w:ascii="Trebuchet MS" w:hAnsi="Trebuchet MS"/>
          <w:lang w:val="ro-RO"/>
        </w:rPr>
      </w:pPr>
      <w:r w:rsidRPr="005402C9">
        <w:rPr>
          <w:rFonts w:ascii="Trebuchet MS" w:hAnsi="Trebuchet MS"/>
          <w:lang w:val="ro-RO"/>
        </w:rPr>
        <w:t>costurile aferente cercetării contractuale, cunoștințelor și brevetelor cumpărate sau obținute cu licență din surse externe, în condiții de concurență deplină, precum și costurile aferente serviciilor de consultanță și serviciilor echivalente folosite exclusiv pentru subproiect;</w:t>
      </w:r>
    </w:p>
    <w:p w14:paraId="11BC5B4D" w14:textId="77777777" w:rsidR="00E20EE7" w:rsidRPr="005402C9" w:rsidRDefault="00E20EE7">
      <w:pPr>
        <w:pStyle w:val="ListParagraph"/>
        <w:numPr>
          <w:ilvl w:val="1"/>
          <w:numId w:val="12"/>
        </w:numPr>
        <w:suppressAutoHyphens w:val="0"/>
        <w:spacing w:line="276" w:lineRule="auto"/>
        <w:jc w:val="both"/>
        <w:textAlignment w:val="auto"/>
        <w:rPr>
          <w:rFonts w:ascii="Trebuchet MS" w:hAnsi="Trebuchet MS"/>
          <w:lang w:val="ro-RO"/>
        </w:rPr>
      </w:pPr>
      <w:r w:rsidRPr="005402C9">
        <w:rPr>
          <w:rFonts w:ascii="Trebuchet MS" w:hAnsi="Trebuchet MS"/>
          <w:lang w:val="ro-RO"/>
        </w:rPr>
        <w:t>costuri indirecte de tipul cheltuieli de regie suplimentare și alte costuri de exploatare, inclusiv costuri ale materialelor, consumabilelor și ale altor produse similare, suportate direct ca urmare a subproiectului.</w:t>
      </w:r>
    </w:p>
    <w:p w14:paraId="655F9D1C" w14:textId="3CE047B6" w:rsidR="00E97D1E" w:rsidRPr="005402C9" w:rsidRDefault="00E97D1E" w:rsidP="0013489D">
      <w:pPr>
        <w:spacing w:before="0" w:after="60" w:line="276" w:lineRule="auto"/>
        <w:jc w:val="both"/>
        <w:rPr>
          <w:sz w:val="22"/>
          <w:szCs w:val="22"/>
        </w:rPr>
      </w:pPr>
      <w:r w:rsidRPr="005402C9">
        <w:rPr>
          <w:sz w:val="22"/>
          <w:szCs w:val="22"/>
        </w:rPr>
        <w:t>Partea nedeductibilă a TVA plătită pentru categoriile de cost enumerate la lit. i</w:t>
      </w:r>
      <w:r w:rsidR="00C55F3C" w:rsidRPr="005402C9">
        <w:rPr>
          <w:sz w:val="22"/>
          <w:szCs w:val="22"/>
        </w:rPr>
        <w:t>i</w:t>
      </w:r>
      <w:r w:rsidRPr="005402C9">
        <w:rPr>
          <w:sz w:val="22"/>
          <w:szCs w:val="22"/>
        </w:rPr>
        <w:t xml:space="preserve">.- v. (complet sau parțial, potrivit legislației naționale în domeniul fiscal) reprezintă o cheltuială eligibilă în cadrul prezentului apel. </w:t>
      </w:r>
    </w:p>
    <w:p w14:paraId="13DE9BE3" w14:textId="1A462FE2" w:rsidR="006401C9" w:rsidRPr="005402C9" w:rsidRDefault="006401C9" w:rsidP="006401C9">
      <w:pPr>
        <w:spacing w:before="0" w:after="60" w:line="276" w:lineRule="auto"/>
        <w:jc w:val="both"/>
        <w:rPr>
          <w:sz w:val="22"/>
          <w:szCs w:val="22"/>
        </w:rPr>
      </w:pPr>
      <w:r w:rsidRPr="005402C9">
        <w:rPr>
          <w:sz w:val="22"/>
          <w:szCs w:val="22"/>
        </w:rPr>
        <w:t>Cheltuielile</w:t>
      </w:r>
      <w:r w:rsidR="008D2580" w:rsidRPr="005402C9">
        <w:rPr>
          <w:sz w:val="22"/>
          <w:szCs w:val="22"/>
        </w:rPr>
        <w:t xml:space="preserve"> obligatorii</w:t>
      </w:r>
      <w:r w:rsidRPr="005402C9">
        <w:rPr>
          <w:sz w:val="22"/>
          <w:szCs w:val="22"/>
        </w:rPr>
        <w:t xml:space="preserve"> cu activitățile de informare și publicitate, c</w:t>
      </w:r>
      <w:r w:rsidR="00B53A13">
        <w:rPr>
          <w:sz w:val="22"/>
          <w:szCs w:val="22"/>
        </w:rPr>
        <w:t>are</w:t>
      </w:r>
      <w:r w:rsidRPr="005402C9">
        <w:rPr>
          <w:sz w:val="22"/>
          <w:szCs w:val="22"/>
        </w:rPr>
        <w:t xml:space="preserve"> derivă exclusiv din Manualul de identitate vizuală privind operațiunile finanțate din Mecanismul de Rederesare și Reziliență definite în conformitate cu prevederile art. 34 din Regulamentul (UE) 2021/241 de instituire a </w:t>
      </w:r>
      <w:r w:rsidRPr="005402C9">
        <w:rPr>
          <w:sz w:val="22"/>
          <w:szCs w:val="22"/>
        </w:rPr>
        <w:lastRenderedPageBreak/>
        <w:t xml:space="preserve">Mecanismului de Rederesare și Reziliență, cu modificările și completările ulterioare, sunt </w:t>
      </w:r>
      <w:r w:rsidR="008D2580" w:rsidRPr="005402C9">
        <w:rPr>
          <w:sz w:val="22"/>
          <w:szCs w:val="22"/>
        </w:rPr>
        <w:t xml:space="preserve">neeligibile în cadrul apelului de proiecte </w:t>
      </w:r>
      <w:r w:rsidRPr="005402C9">
        <w:rPr>
          <w:sz w:val="22"/>
          <w:szCs w:val="22"/>
        </w:rPr>
        <w:t xml:space="preserve">și sunt suportate de beneficiar. </w:t>
      </w:r>
    </w:p>
    <w:p w14:paraId="4D8665E1" w14:textId="77777777" w:rsidR="00E97D1E" w:rsidRPr="005402C9" w:rsidRDefault="00E97D1E" w:rsidP="00E97D1E">
      <w:pPr>
        <w:spacing w:before="0" w:after="60" w:line="276" w:lineRule="auto"/>
        <w:jc w:val="both"/>
        <w:rPr>
          <w:sz w:val="22"/>
          <w:szCs w:val="22"/>
        </w:rPr>
      </w:pPr>
    </w:p>
    <w:p w14:paraId="02A0F0AF" w14:textId="77777777" w:rsidR="006401C9" w:rsidRPr="005402C9" w:rsidRDefault="006401C9" w:rsidP="006401C9">
      <w:pPr>
        <w:spacing w:line="276" w:lineRule="auto"/>
        <w:jc w:val="both"/>
        <w:rPr>
          <w:i/>
          <w:sz w:val="22"/>
          <w:szCs w:val="22"/>
        </w:rPr>
      </w:pPr>
      <w:r w:rsidRPr="00B53A13">
        <w:rPr>
          <w:i/>
          <w:iCs/>
          <w:sz w:val="22"/>
          <w:szCs w:val="22"/>
        </w:rPr>
        <w:t>NOTĂ:</w:t>
      </w:r>
      <w:r w:rsidRPr="00B53A13">
        <w:rPr>
          <w:sz w:val="22"/>
          <w:szCs w:val="22"/>
        </w:rPr>
        <w:t xml:space="preserve"> </w:t>
      </w:r>
      <w:r w:rsidRPr="00B53A13">
        <w:rPr>
          <w:i/>
          <w:sz w:val="22"/>
          <w:szCs w:val="22"/>
        </w:rPr>
        <w:t>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w:t>
      </w:r>
      <w:r w:rsidRPr="005402C9">
        <w:rPr>
          <w:i/>
          <w:sz w:val="22"/>
          <w:szCs w:val="22"/>
        </w:rPr>
        <w:t xml:space="preserve">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35DD90AF" w14:textId="77777777" w:rsidR="00A521DC" w:rsidRDefault="00A521DC" w:rsidP="00AB5FF3">
      <w:pPr>
        <w:spacing w:before="0" w:after="0" w:line="276" w:lineRule="auto"/>
        <w:jc w:val="both"/>
        <w:rPr>
          <w:sz w:val="22"/>
          <w:szCs w:val="22"/>
        </w:rPr>
      </w:pPr>
    </w:p>
    <w:p w14:paraId="68198B29" w14:textId="77777777" w:rsidR="00B53A13" w:rsidRDefault="00B53A13" w:rsidP="00AB5FF3">
      <w:pPr>
        <w:spacing w:before="0" w:after="0" w:line="276" w:lineRule="auto"/>
        <w:jc w:val="both"/>
        <w:rPr>
          <w:sz w:val="22"/>
          <w:szCs w:val="22"/>
        </w:rPr>
      </w:pPr>
    </w:p>
    <w:p w14:paraId="10171F79" w14:textId="77777777" w:rsidR="00B53A13" w:rsidRPr="005402C9" w:rsidRDefault="00B53A13" w:rsidP="00AB5FF3">
      <w:pPr>
        <w:spacing w:before="0" w:after="0" w:line="276" w:lineRule="auto"/>
        <w:jc w:val="both"/>
        <w:rPr>
          <w:sz w:val="22"/>
          <w:szCs w:val="22"/>
        </w:rPr>
      </w:pPr>
    </w:p>
    <w:p w14:paraId="236C7DBC" w14:textId="1E3B3A64" w:rsidR="008620EF" w:rsidRPr="005402C9" w:rsidRDefault="00BF335E" w:rsidP="0013489D">
      <w:pPr>
        <w:pStyle w:val="Heading1"/>
        <w:spacing w:before="0" w:after="0" w:line="276" w:lineRule="auto"/>
        <w:ind w:left="0" w:firstLine="0"/>
        <w:jc w:val="both"/>
        <w:rPr>
          <w:sz w:val="22"/>
          <w:szCs w:val="22"/>
        </w:rPr>
      </w:pPr>
      <w:bookmarkStart w:id="40" w:name="_2xcytpi"/>
      <w:bookmarkStart w:id="41" w:name="_Toc150159457"/>
      <w:bookmarkEnd w:id="40"/>
      <w:r w:rsidRPr="005402C9">
        <w:rPr>
          <w:color w:val="7030A0"/>
          <w:sz w:val="22"/>
          <w:szCs w:val="22"/>
        </w:rPr>
        <w:t xml:space="preserve">4. </w:t>
      </w:r>
      <w:r w:rsidR="00B01E66" w:rsidRPr="005402C9">
        <w:rPr>
          <w:color w:val="7030A0"/>
          <w:sz w:val="22"/>
          <w:szCs w:val="22"/>
        </w:rPr>
        <w:t>SUSTENABILITATEA PROIECTULUI</w:t>
      </w:r>
      <w:bookmarkEnd w:id="41"/>
    </w:p>
    <w:p w14:paraId="043251D0" w14:textId="77777777" w:rsidR="00B01E66" w:rsidRPr="005402C9" w:rsidRDefault="00B01E66" w:rsidP="0013489D">
      <w:pPr>
        <w:pStyle w:val="ListParagraph"/>
        <w:widowControl w:val="0"/>
        <w:spacing w:after="0" w:line="276" w:lineRule="auto"/>
        <w:ind w:left="450"/>
        <w:jc w:val="both"/>
        <w:rPr>
          <w:rFonts w:ascii="Trebuchet MS" w:hAnsi="Trebuchet MS"/>
          <w:lang w:val="ro-RO"/>
        </w:rPr>
      </w:pPr>
    </w:p>
    <w:p w14:paraId="3DE71998" w14:textId="6310621D" w:rsidR="00B01E66" w:rsidRPr="005402C9" w:rsidRDefault="00B01E66" w:rsidP="00B01E66">
      <w:pPr>
        <w:spacing w:line="276" w:lineRule="auto"/>
        <w:jc w:val="both"/>
        <w:rPr>
          <w:sz w:val="22"/>
          <w:szCs w:val="22"/>
        </w:rPr>
      </w:pPr>
      <w:r w:rsidRPr="005402C9">
        <w:rPr>
          <w:sz w:val="22"/>
          <w:szCs w:val="22"/>
        </w:rPr>
        <w:t>Perioada de sustenabilitate a proiectului reprezintă perioada de timp, ulterioară perioadei de implementare a proiectului, în care investițiile realizate prin proiect își vor produce efectele și rezultatele scontate și este stabilită la 3 (trei) ani.</w:t>
      </w:r>
    </w:p>
    <w:p w14:paraId="7FB5BBFD" w14:textId="60C60F5B" w:rsidR="00B01E66" w:rsidRPr="005402C9" w:rsidRDefault="00EE382A" w:rsidP="00AB5FF3">
      <w:pPr>
        <w:spacing w:line="276" w:lineRule="auto"/>
        <w:jc w:val="both"/>
        <w:rPr>
          <w:sz w:val="22"/>
          <w:szCs w:val="22"/>
        </w:rPr>
      </w:pPr>
      <w:r w:rsidRPr="005402C9">
        <w:rPr>
          <w:sz w:val="22"/>
          <w:szCs w:val="22"/>
        </w:rPr>
        <w:t xml:space="preserve">Solicitanții se angajează să asigure resursele financiare necesare pe perioada de sustenabilitate a proiectului prin completarea Declarației de angajament </w:t>
      </w:r>
      <w:r w:rsidRPr="000C713B">
        <w:rPr>
          <w:sz w:val="22"/>
          <w:szCs w:val="22"/>
        </w:rPr>
        <w:t>(Model A).</w:t>
      </w:r>
    </w:p>
    <w:p w14:paraId="7B70C51D" w14:textId="716EC5ED" w:rsidR="00AC24B4" w:rsidRPr="005402C9" w:rsidRDefault="00AC24B4" w:rsidP="00AC24B4">
      <w:pPr>
        <w:pStyle w:val="CommentText"/>
        <w:spacing w:line="276" w:lineRule="auto"/>
        <w:jc w:val="both"/>
        <w:rPr>
          <w:sz w:val="22"/>
          <w:szCs w:val="22"/>
        </w:rPr>
      </w:pPr>
      <w:r w:rsidRPr="005402C9">
        <w:rPr>
          <w:sz w:val="22"/>
          <w:szCs w:val="22"/>
        </w:rPr>
        <w:t xml:space="preserve">Criteriile de eligibilitate trebuie respectate de solicitant la momentul depunerii proiectului, </w:t>
      </w:r>
      <w:r w:rsidR="00701DDF">
        <w:rPr>
          <w:sz w:val="22"/>
          <w:szCs w:val="22"/>
        </w:rPr>
        <w:t xml:space="preserve">la momentul </w:t>
      </w:r>
      <w:r w:rsidRPr="005402C9">
        <w:rPr>
          <w:sz w:val="22"/>
          <w:szCs w:val="22"/>
        </w:rPr>
        <w:t xml:space="preserve">contractării </w:t>
      </w:r>
      <w:r w:rsidR="00701DDF">
        <w:rPr>
          <w:sz w:val="22"/>
          <w:szCs w:val="22"/>
        </w:rPr>
        <w:t xml:space="preserve">precum </w:t>
      </w:r>
      <w:r w:rsidRPr="005402C9">
        <w:rPr>
          <w:sz w:val="22"/>
          <w:szCs w:val="22"/>
        </w:rPr>
        <w:t xml:space="preserve">și în perioada implementării contractului de finanțare, în condițiile stipulate de acesta, inclusiv și </w:t>
      </w:r>
      <w:r w:rsidR="00701DDF">
        <w:rPr>
          <w:sz w:val="22"/>
          <w:szCs w:val="22"/>
        </w:rPr>
        <w:t>în</w:t>
      </w:r>
      <w:r w:rsidRPr="005402C9">
        <w:rPr>
          <w:sz w:val="22"/>
          <w:szCs w:val="22"/>
        </w:rPr>
        <w:t xml:space="preserve"> perioada de sustenabilitate a acestuia, în conformitate cu prevederile prezentului ghid.</w:t>
      </w:r>
    </w:p>
    <w:p w14:paraId="3A500DC4" w14:textId="77777777" w:rsidR="00B01E66" w:rsidRPr="005402C9" w:rsidRDefault="00B01E66" w:rsidP="00AB5FF3">
      <w:pPr>
        <w:spacing w:line="276" w:lineRule="auto"/>
        <w:jc w:val="both"/>
        <w:rPr>
          <w:sz w:val="22"/>
          <w:szCs w:val="22"/>
        </w:rPr>
      </w:pPr>
    </w:p>
    <w:p w14:paraId="42C425A9" w14:textId="4708621A" w:rsidR="00B01E66" w:rsidRPr="005402C9" w:rsidRDefault="00BF335E" w:rsidP="0013489D">
      <w:pPr>
        <w:pStyle w:val="Heading1"/>
        <w:spacing w:before="0" w:after="0" w:line="276" w:lineRule="auto"/>
        <w:ind w:left="0" w:firstLine="0"/>
        <w:jc w:val="both"/>
        <w:rPr>
          <w:color w:val="7030A0"/>
          <w:sz w:val="22"/>
          <w:szCs w:val="22"/>
        </w:rPr>
      </w:pPr>
      <w:bookmarkStart w:id="42" w:name="_Toc150159458"/>
      <w:r w:rsidRPr="005402C9">
        <w:rPr>
          <w:color w:val="7030A0"/>
          <w:sz w:val="22"/>
          <w:szCs w:val="22"/>
        </w:rPr>
        <w:t xml:space="preserve">5. </w:t>
      </w:r>
      <w:r w:rsidR="00EE382A" w:rsidRPr="005402C9">
        <w:rPr>
          <w:color w:val="7030A0"/>
          <w:sz w:val="22"/>
          <w:szCs w:val="22"/>
        </w:rPr>
        <w:t>COMPLETAREA CERERILOR DE FINANȚARE</w:t>
      </w:r>
      <w:bookmarkEnd w:id="42"/>
    </w:p>
    <w:p w14:paraId="2DC8C99C" w14:textId="0251F9BB" w:rsidR="00C93344" w:rsidRPr="005402C9" w:rsidRDefault="00C93344" w:rsidP="00C93344">
      <w:pPr>
        <w:spacing w:line="276" w:lineRule="auto"/>
        <w:jc w:val="both"/>
        <w:rPr>
          <w:sz w:val="22"/>
          <w:szCs w:val="22"/>
        </w:rPr>
      </w:pPr>
      <w:r w:rsidRPr="005402C9">
        <w:rPr>
          <w:sz w:val="22"/>
          <w:szCs w:val="22"/>
        </w:rPr>
        <w:t xml:space="preserve">Cererile de finanţare se transmit obligatoriu prin platforma pentru depunerea proiectelor de investiții finanțate în cadrul Planului Național de Redresare și Reziliență. Platforma poate fi accesată la următorul link: </w:t>
      </w:r>
      <w:hyperlink r:id="rId9" w:history="1">
        <w:r w:rsidRPr="005402C9">
          <w:rPr>
            <w:rStyle w:val="Hyperlink"/>
            <w:sz w:val="22"/>
            <w:szCs w:val="22"/>
          </w:rPr>
          <w:t>https://proiecte.pnrr.gov.ro</w:t>
        </w:r>
      </w:hyperlink>
      <w:r w:rsidRPr="005402C9">
        <w:rPr>
          <w:sz w:val="22"/>
          <w:szCs w:val="22"/>
        </w:rPr>
        <w:t>.</w:t>
      </w:r>
    </w:p>
    <w:p w14:paraId="0AEB2B22" w14:textId="0DF05C9C" w:rsidR="00C93344" w:rsidRPr="005402C9" w:rsidRDefault="00C93344" w:rsidP="00C93344">
      <w:pPr>
        <w:spacing w:line="276" w:lineRule="auto"/>
        <w:jc w:val="both"/>
        <w:rPr>
          <w:sz w:val="22"/>
          <w:szCs w:val="22"/>
        </w:rPr>
      </w:pPr>
      <w:r w:rsidRPr="005402C9">
        <w:rPr>
          <w:sz w:val="22"/>
          <w:szCs w:val="22"/>
        </w:rPr>
        <w:t xml:space="preserve">În situația în care intervin disfuncționalități ale platformei PNRR, aplicanții care întâmpină dificultăți în transmiterea proiectelor din cauze ce privesc în mod exclusiv funcționalitatea platformei, sunt rugați să transmită cererea de finanțare și documentele anexă pe adresele de email: </w:t>
      </w:r>
      <w:hyperlink r:id="rId10" w:history="1">
        <w:r w:rsidRPr="005402C9">
          <w:rPr>
            <w:rStyle w:val="Hyperlink"/>
            <w:sz w:val="22"/>
            <w:szCs w:val="22"/>
          </w:rPr>
          <w:t>contact.implementarepnrr@mfe.gov.ro</w:t>
        </w:r>
      </w:hyperlink>
      <w:r w:rsidRPr="005402C9">
        <w:rPr>
          <w:sz w:val="22"/>
          <w:szCs w:val="22"/>
        </w:rPr>
        <w:t>, respectând perioada de depunere a proiectelor. Ulterior remedierii disfuncționalităților, toate documentele comunicate pe email vor fi transmise și în secțiunea „Clarificări”, după închiderea apelului.</w:t>
      </w:r>
    </w:p>
    <w:p w14:paraId="7AE2796F" w14:textId="77777777" w:rsidR="00C93344" w:rsidRPr="005402C9" w:rsidRDefault="00C93344" w:rsidP="00C93344">
      <w:pPr>
        <w:spacing w:line="276" w:lineRule="auto"/>
        <w:jc w:val="both"/>
        <w:rPr>
          <w:sz w:val="22"/>
          <w:szCs w:val="22"/>
        </w:rPr>
      </w:pPr>
      <w:r w:rsidRPr="005402C9">
        <w:rPr>
          <w:sz w:val="22"/>
          <w:szCs w:val="22"/>
        </w:rPr>
        <w:t>Cererea de finanțare se va completa integral, completând toate câmpurile și se va transmite în format pdf., sub semnătura electronică extinsă, certificată în conformitate cu prevederile legale în vigoare, a reprezentantului legal al solicitantului de finanțare sau, după caz, a persoanei împuternicite de către acesta și va fi însoțită un set de documente completate sau, după caz, scanate, salvate în format pdf., semnate digital cu semnătură electronică, certificată în conformitate cu prevederile legale în vigoare, a reprezentantului legal al solicitantului de finanțare sau a persoanei împuternicite de către acesta, care sustine și probează datele și informațiile prezentate în cererea de finanțare.</w:t>
      </w:r>
    </w:p>
    <w:p w14:paraId="77A2DC33" w14:textId="278A689B" w:rsidR="00C93344" w:rsidRPr="005402C9" w:rsidRDefault="00C93344" w:rsidP="00C93344">
      <w:pPr>
        <w:spacing w:line="276" w:lineRule="auto"/>
        <w:jc w:val="both"/>
        <w:rPr>
          <w:sz w:val="22"/>
          <w:szCs w:val="22"/>
        </w:rPr>
      </w:pPr>
      <w:r w:rsidRPr="005402C9">
        <w:rPr>
          <w:sz w:val="22"/>
          <w:szCs w:val="22"/>
        </w:rPr>
        <w:lastRenderedPageBreak/>
        <w:t xml:space="preserve">Documentele depuse prin platforma </w:t>
      </w:r>
      <w:hyperlink r:id="rId11" w:history="1">
        <w:r w:rsidRPr="005402C9">
          <w:rPr>
            <w:rStyle w:val="Hyperlink"/>
            <w:sz w:val="22"/>
            <w:szCs w:val="22"/>
          </w:rPr>
          <w:t>https://proiecte.pnrr.gov.ro</w:t>
        </w:r>
      </w:hyperlink>
      <w:r w:rsidRPr="005402C9">
        <w:rPr>
          <w:sz w:val="22"/>
          <w:szCs w:val="22"/>
        </w:rPr>
        <w:t xml:space="preserve"> care însoțesc cererea de finanțare trebuie să fie lizibile și complete.</w:t>
      </w:r>
    </w:p>
    <w:p w14:paraId="35174537" w14:textId="0B5DBA5C" w:rsidR="008B0C2A" w:rsidRPr="005402C9" w:rsidRDefault="00C93344" w:rsidP="0013489D">
      <w:pPr>
        <w:pStyle w:val="Heading2"/>
        <w:rPr>
          <w:sz w:val="22"/>
          <w:szCs w:val="22"/>
        </w:rPr>
      </w:pPr>
      <w:bookmarkStart w:id="43" w:name="_Toc150159459"/>
      <w:r w:rsidRPr="005402C9">
        <w:rPr>
          <w:bCs/>
          <w:sz w:val="22"/>
          <w:szCs w:val="22"/>
        </w:rPr>
        <w:t>5.1 Anexe</w:t>
      </w:r>
      <w:r w:rsidRPr="005402C9">
        <w:rPr>
          <w:sz w:val="22"/>
          <w:szCs w:val="22"/>
        </w:rPr>
        <w:t xml:space="preserve">: </w:t>
      </w:r>
      <w:r w:rsidR="008B0C2A" w:rsidRPr="005402C9">
        <w:rPr>
          <w:sz w:val="22"/>
          <w:szCs w:val="22"/>
        </w:rPr>
        <w:t xml:space="preserve">Cererea de finanțare este însoțită de următoarele </w:t>
      </w:r>
      <w:r w:rsidR="005402C9" w:rsidRPr="005402C9">
        <w:rPr>
          <w:sz w:val="22"/>
          <w:szCs w:val="22"/>
        </w:rPr>
        <w:t>documente</w:t>
      </w:r>
      <w:r w:rsidR="008B0C2A" w:rsidRPr="005402C9">
        <w:rPr>
          <w:sz w:val="22"/>
          <w:szCs w:val="22"/>
        </w:rPr>
        <w:t>:</w:t>
      </w:r>
      <w:bookmarkEnd w:id="43"/>
    </w:p>
    <w:p w14:paraId="5CC9B88E" w14:textId="4329E243" w:rsidR="008B0C2A" w:rsidRPr="005402C9" w:rsidRDefault="008B0C2A" w:rsidP="0013489D">
      <w:pPr>
        <w:spacing w:line="276" w:lineRule="auto"/>
        <w:ind w:left="360"/>
        <w:jc w:val="both"/>
        <w:rPr>
          <w:sz w:val="22"/>
          <w:szCs w:val="22"/>
        </w:rPr>
      </w:pPr>
      <w:r w:rsidRPr="005402C9">
        <w:rPr>
          <w:sz w:val="22"/>
          <w:szCs w:val="22"/>
        </w:rPr>
        <w:t>A. Declarații pe propria răspundere a solicitantului</w:t>
      </w:r>
      <w:r w:rsidR="005402C9" w:rsidRPr="005402C9">
        <w:rPr>
          <w:sz w:val="22"/>
          <w:szCs w:val="22"/>
        </w:rPr>
        <w:t xml:space="preserve"> – anexe la cererea de finanțare</w:t>
      </w:r>
      <w:r w:rsidRPr="005402C9">
        <w:rPr>
          <w:sz w:val="22"/>
          <w:szCs w:val="22"/>
        </w:rPr>
        <w:t>:</w:t>
      </w:r>
    </w:p>
    <w:p w14:paraId="41BA173F" w14:textId="784AD1F4" w:rsidR="008B0C2A" w:rsidRPr="00F5014D" w:rsidRDefault="008B0C2A">
      <w:pPr>
        <w:pStyle w:val="ListParagraph"/>
        <w:numPr>
          <w:ilvl w:val="0"/>
          <w:numId w:val="14"/>
        </w:numPr>
        <w:spacing w:line="276" w:lineRule="auto"/>
        <w:ind w:left="1080"/>
        <w:jc w:val="both"/>
        <w:rPr>
          <w:rFonts w:ascii="Trebuchet MS" w:hAnsi="Trebuchet MS"/>
          <w:lang w:val="ro-RO"/>
        </w:rPr>
      </w:pPr>
      <w:r w:rsidRPr="00F5014D">
        <w:rPr>
          <w:rFonts w:ascii="Trebuchet MS" w:hAnsi="Trebuchet MS"/>
          <w:lang w:val="ro-RO"/>
        </w:rPr>
        <w:t xml:space="preserve">Declarația de angajament – Model A </w:t>
      </w:r>
    </w:p>
    <w:p w14:paraId="1B1AA8CD" w14:textId="33A087EB" w:rsidR="008B0C2A" w:rsidRPr="00F5014D" w:rsidRDefault="008B0C2A">
      <w:pPr>
        <w:pStyle w:val="ListParagraph"/>
        <w:numPr>
          <w:ilvl w:val="0"/>
          <w:numId w:val="14"/>
        </w:numPr>
        <w:spacing w:line="276" w:lineRule="auto"/>
        <w:ind w:left="1080"/>
        <w:jc w:val="both"/>
        <w:rPr>
          <w:rFonts w:ascii="Trebuchet MS" w:hAnsi="Trebuchet MS"/>
          <w:lang w:val="ro-RO"/>
        </w:rPr>
      </w:pPr>
      <w:r w:rsidRPr="00F5014D">
        <w:rPr>
          <w:rFonts w:ascii="Trebuchet MS" w:hAnsi="Trebuchet MS"/>
          <w:lang w:val="ro-RO"/>
        </w:rPr>
        <w:t xml:space="preserve">Declarația de eligibilitate – Model B; </w:t>
      </w:r>
    </w:p>
    <w:p w14:paraId="68CA7CF0" w14:textId="0AB1E691" w:rsidR="008B0C2A" w:rsidRPr="00F5014D" w:rsidRDefault="008B0C2A">
      <w:pPr>
        <w:pStyle w:val="ListParagraph"/>
        <w:numPr>
          <w:ilvl w:val="0"/>
          <w:numId w:val="14"/>
        </w:numPr>
        <w:spacing w:line="276" w:lineRule="auto"/>
        <w:ind w:left="1080"/>
        <w:jc w:val="both"/>
        <w:rPr>
          <w:rFonts w:ascii="Trebuchet MS" w:hAnsi="Trebuchet MS"/>
          <w:lang w:val="ro-RO"/>
        </w:rPr>
      </w:pPr>
      <w:r w:rsidRPr="00F5014D">
        <w:rPr>
          <w:rFonts w:ascii="Trebuchet MS" w:hAnsi="Trebuchet MS"/>
          <w:lang w:val="ro-RO"/>
        </w:rPr>
        <w:t xml:space="preserve">Declarația privind eligibilitatea TVA – Model C; </w:t>
      </w:r>
    </w:p>
    <w:p w14:paraId="3B27F36E" w14:textId="30DB6EDC" w:rsidR="008B0C2A" w:rsidRPr="00F5014D" w:rsidRDefault="008B0C2A">
      <w:pPr>
        <w:pStyle w:val="ListParagraph"/>
        <w:numPr>
          <w:ilvl w:val="0"/>
          <w:numId w:val="14"/>
        </w:numPr>
        <w:spacing w:line="276" w:lineRule="auto"/>
        <w:ind w:left="1080"/>
        <w:jc w:val="both"/>
        <w:rPr>
          <w:rFonts w:ascii="Trebuchet MS" w:hAnsi="Trebuchet MS"/>
          <w:lang w:val="ro-RO"/>
        </w:rPr>
      </w:pPr>
      <w:r w:rsidRPr="00F5014D">
        <w:rPr>
          <w:rFonts w:ascii="Trebuchet MS" w:hAnsi="Trebuchet MS"/>
          <w:lang w:val="ro-RO"/>
        </w:rPr>
        <w:t xml:space="preserve">Consimțământ privind prelucrarea datelor cu caracter personal – Model D; </w:t>
      </w:r>
    </w:p>
    <w:p w14:paraId="06B2A08D" w14:textId="1DD7C5CF" w:rsidR="008B0C2A" w:rsidRPr="00F5014D" w:rsidRDefault="008B0C2A">
      <w:pPr>
        <w:pStyle w:val="ListParagraph"/>
        <w:numPr>
          <w:ilvl w:val="0"/>
          <w:numId w:val="14"/>
        </w:numPr>
        <w:spacing w:line="276" w:lineRule="auto"/>
        <w:ind w:left="1080"/>
        <w:jc w:val="both"/>
        <w:rPr>
          <w:rFonts w:ascii="Trebuchet MS" w:hAnsi="Trebuchet MS"/>
          <w:lang w:val="ro-RO"/>
        </w:rPr>
      </w:pPr>
      <w:r w:rsidRPr="00F5014D">
        <w:rPr>
          <w:rFonts w:ascii="Trebuchet MS" w:hAnsi="Trebuchet MS"/>
          <w:lang w:val="ro-RO"/>
        </w:rPr>
        <w:t>Declarația privind evitarea conflictelor de interese, a fraudei, corupției și a dublei finanțări – Model E</w:t>
      </w:r>
      <w:r w:rsidR="00EE7A0E">
        <w:rPr>
          <w:rFonts w:ascii="Trebuchet MS" w:hAnsi="Trebuchet MS"/>
          <w:lang w:val="ro-RO"/>
        </w:rPr>
        <w:t>;</w:t>
      </w:r>
    </w:p>
    <w:p w14:paraId="0DC5EFAE" w14:textId="79CC5C7B" w:rsidR="008B0C2A" w:rsidRPr="00F5014D" w:rsidRDefault="008B0C2A">
      <w:pPr>
        <w:pStyle w:val="ListParagraph"/>
        <w:numPr>
          <w:ilvl w:val="0"/>
          <w:numId w:val="14"/>
        </w:numPr>
        <w:spacing w:line="276" w:lineRule="auto"/>
        <w:ind w:left="1080"/>
        <w:jc w:val="both"/>
        <w:rPr>
          <w:rFonts w:ascii="Trebuchet MS" w:hAnsi="Trebuchet MS"/>
          <w:lang w:val="ro-RO"/>
        </w:rPr>
      </w:pPr>
      <w:r w:rsidRPr="00F5014D">
        <w:rPr>
          <w:rFonts w:ascii="Trebuchet MS" w:hAnsi="Trebuchet MS"/>
          <w:lang w:val="ro-RO"/>
        </w:rPr>
        <w:t>Declarația privind respectarea principiului DNSH – Model F</w:t>
      </w:r>
      <w:r w:rsidR="00EE7A0E">
        <w:rPr>
          <w:rFonts w:ascii="Trebuchet MS" w:hAnsi="Trebuchet MS"/>
          <w:lang w:val="ro-RO"/>
        </w:rPr>
        <w:t>;</w:t>
      </w:r>
    </w:p>
    <w:p w14:paraId="2020E38E" w14:textId="086B0EFA" w:rsidR="005402C9" w:rsidRDefault="005402C9">
      <w:pPr>
        <w:pStyle w:val="ListParagraph"/>
        <w:numPr>
          <w:ilvl w:val="0"/>
          <w:numId w:val="14"/>
        </w:numPr>
        <w:spacing w:line="276" w:lineRule="auto"/>
        <w:ind w:left="1080"/>
        <w:jc w:val="both"/>
        <w:rPr>
          <w:rFonts w:ascii="Trebuchet MS" w:hAnsi="Trebuchet MS"/>
          <w:lang w:val="ro-RO"/>
        </w:rPr>
      </w:pPr>
      <w:r w:rsidRPr="00F5014D">
        <w:rPr>
          <w:rFonts w:ascii="Trebuchet MS" w:hAnsi="Trebuchet MS"/>
          <w:lang w:val="ro-RO"/>
        </w:rPr>
        <w:t>Acordul de colaborare efectivă cu unul dintre participanții direcți</w:t>
      </w:r>
      <w:r w:rsidR="00F5014D" w:rsidRPr="00F5014D">
        <w:rPr>
          <w:rFonts w:ascii="Trebuchet MS" w:hAnsi="Trebuchet MS"/>
          <w:lang w:val="ro-RO"/>
        </w:rPr>
        <w:t xml:space="preserve"> – Model G</w:t>
      </w:r>
      <w:r w:rsidR="000C713B">
        <w:rPr>
          <w:rFonts w:ascii="Trebuchet MS" w:hAnsi="Trebuchet MS"/>
          <w:lang w:val="ro-RO"/>
        </w:rPr>
        <w:t>;</w:t>
      </w:r>
    </w:p>
    <w:p w14:paraId="01D0FBB0" w14:textId="30FBAF98" w:rsidR="00701DDF" w:rsidRDefault="000C713B" w:rsidP="00701DDF">
      <w:pPr>
        <w:pStyle w:val="ListParagraph"/>
        <w:numPr>
          <w:ilvl w:val="0"/>
          <w:numId w:val="14"/>
        </w:numPr>
        <w:spacing w:line="276" w:lineRule="auto"/>
        <w:ind w:left="1080"/>
        <w:jc w:val="both"/>
        <w:rPr>
          <w:rFonts w:ascii="Trebuchet MS" w:hAnsi="Trebuchet MS"/>
          <w:lang w:val="ro-RO"/>
        </w:rPr>
      </w:pPr>
      <w:r>
        <w:rPr>
          <w:rFonts w:ascii="Trebuchet MS" w:hAnsi="Trebuchet MS"/>
          <w:lang w:val="ro-RO"/>
        </w:rPr>
        <w:t>Împuternicire – Model H</w:t>
      </w:r>
      <w:r w:rsidR="00E81BDC">
        <w:rPr>
          <w:rFonts w:ascii="Trebuchet MS" w:hAnsi="Trebuchet MS"/>
          <w:lang w:val="ro-RO"/>
        </w:rPr>
        <w:t>;</w:t>
      </w:r>
    </w:p>
    <w:p w14:paraId="6601B952" w14:textId="428C1796" w:rsidR="00C5466E" w:rsidRPr="00701DDF" w:rsidRDefault="00E81BDC" w:rsidP="00701DDF">
      <w:pPr>
        <w:pStyle w:val="ListParagraph"/>
        <w:numPr>
          <w:ilvl w:val="0"/>
          <w:numId w:val="14"/>
        </w:numPr>
        <w:spacing w:line="276" w:lineRule="auto"/>
        <w:ind w:left="1080"/>
        <w:jc w:val="both"/>
        <w:rPr>
          <w:rFonts w:ascii="Trebuchet MS" w:hAnsi="Trebuchet MS"/>
          <w:lang w:val="ro-RO"/>
        </w:rPr>
      </w:pPr>
      <w:r>
        <w:rPr>
          <w:rFonts w:ascii="Trebuchet MS" w:hAnsi="Trebuchet MS"/>
          <w:lang w:val="ro-RO"/>
        </w:rPr>
        <w:t>Machetă raportare indicatori digitali – Model I.</w:t>
      </w:r>
    </w:p>
    <w:p w14:paraId="00091DBF" w14:textId="6D23F554" w:rsidR="008B0C2A" w:rsidRPr="005402C9" w:rsidRDefault="006525A8" w:rsidP="0013489D">
      <w:pPr>
        <w:spacing w:line="276" w:lineRule="auto"/>
        <w:ind w:left="360"/>
        <w:jc w:val="both"/>
        <w:rPr>
          <w:sz w:val="22"/>
          <w:szCs w:val="22"/>
        </w:rPr>
      </w:pPr>
      <w:r w:rsidRPr="005402C9">
        <w:rPr>
          <w:sz w:val="22"/>
          <w:szCs w:val="22"/>
        </w:rPr>
        <w:t xml:space="preserve">B. </w:t>
      </w:r>
      <w:r w:rsidR="008B0C2A" w:rsidRPr="005402C9">
        <w:rPr>
          <w:sz w:val="22"/>
          <w:szCs w:val="22"/>
        </w:rPr>
        <w:t xml:space="preserve">Documentația necesară analizei </w:t>
      </w:r>
      <w:r w:rsidR="00974028" w:rsidRPr="005402C9">
        <w:rPr>
          <w:sz w:val="22"/>
          <w:szCs w:val="22"/>
        </w:rPr>
        <w:t xml:space="preserve">cererii de finanțare, </w:t>
      </w:r>
      <w:r w:rsidR="008B0C2A" w:rsidRPr="005402C9">
        <w:rPr>
          <w:sz w:val="22"/>
          <w:szCs w:val="22"/>
        </w:rPr>
        <w:t>asumat</w:t>
      </w:r>
      <w:r w:rsidR="00974028" w:rsidRPr="005402C9">
        <w:rPr>
          <w:sz w:val="22"/>
          <w:szCs w:val="22"/>
        </w:rPr>
        <w:t>ă</w:t>
      </w:r>
      <w:r w:rsidR="008B0C2A" w:rsidRPr="005402C9">
        <w:rPr>
          <w:sz w:val="22"/>
          <w:szCs w:val="22"/>
        </w:rPr>
        <w:t xml:space="preserve"> prin semnătură și depus</w:t>
      </w:r>
      <w:r w:rsidR="00974028" w:rsidRPr="005402C9">
        <w:rPr>
          <w:sz w:val="22"/>
          <w:szCs w:val="22"/>
        </w:rPr>
        <w:t xml:space="preserve">ă în format </w:t>
      </w:r>
      <w:r w:rsidR="00974028" w:rsidRPr="005402C9">
        <w:rPr>
          <w:i/>
          <w:iCs/>
          <w:sz w:val="22"/>
          <w:szCs w:val="22"/>
        </w:rPr>
        <w:t>.pdf</w:t>
      </w:r>
      <w:r w:rsidR="008B0C2A" w:rsidRPr="005402C9">
        <w:rPr>
          <w:sz w:val="22"/>
          <w:szCs w:val="22"/>
        </w:rPr>
        <w:t xml:space="preserve"> odată cu cererea de finanțare:</w:t>
      </w:r>
    </w:p>
    <w:p w14:paraId="78C6DDA8" w14:textId="2C562EE4" w:rsidR="008B0C2A" w:rsidRPr="005402C9" w:rsidRDefault="008B0C2A">
      <w:pPr>
        <w:pStyle w:val="ListParagraph"/>
        <w:numPr>
          <w:ilvl w:val="0"/>
          <w:numId w:val="15"/>
        </w:numPr>
        <w:spacing w:line="276" w:lineRule="auto"/>
        <w:ind w:left="1080"/>
        <w:jc w:val="both"/>
        <w:rPr>
          <w:rFonts w:ascii="Trebuchet MS" w:hAnsi="Trebuchet MS"/>
          <w:lang w:val="ro-RO"/>
        </w:rPr>
      </w:pPr>
      <w:r w:rsidRPr="005402C9">
        <w:rPr>
          <w:rFonts w:ascii="Trebuchet MS" w:hAnsi="Trebuchet MS"/>
          <w:lang w:val="ro-RO"/>
        </w:rPr>
        <w:t>Copie a cărții de identitate a reprezentantului legal/împuternicitului;</w:t>
      </w:r>
      <w:r w:rsidRPr="005402C9">
        <w:rPr>
          <w:rFonts w:ascii="Trebuchet MS" w:hAnsi="Trebuchet MS"/>
          <w:lang w:val="ro-RO"/>
        </w:rPr>
        <w:tab/>
      </w:r>
    </w:p>
    <w:p w14:paraId="00327BDC" w14:textId="61B0B2FE" w:rsidR="008B0C2A" w:rsidRPr="005402C9" w:rsidRDefault="008B0C2A">
      <w:pPr>
        <w:pStyle w:val="ListParagraph"/>
        <w:numPr>
          <w:ilvl w:val="0"/>
          <w:numId w:val="15"/>
        </w:numPr>
        <w:spacing w:line="276" w:lineRule="auto"/>
        <w:ind w:left="1080"/>
        <w:jc w:val="both"/>
        <w:rPr>
          <w:rFonts w:ascii="Trebuchet MS" w:hAnsi="Trebuchet MS"/>
          <w:lang w:val="ro-RO"/>
        </w:rPr>
      </w:pPr>
      <w:r w:rsidRPr="005402C9">
        <w:rPr>
          <w:rFonts w:ascii="Trebuchet MS" w:hAnsi="Trebuchet MS"/>
          <w:lang w:val="ro-RO"/>
        </w:rPr>
        <w:t>Documentele de înregistrare ale întreprinderi</w:t>
      </w:r>
      <w:r w:rsidR="00DC3E47" w:rsidRPr="005402C9">
        <w:rPr>
          <w:rFonts w:ascii="Trebuchet MS" w:hAnsi="Trebuchet MS"/>
          <w:lang w:val="ro-RO"/>
        </w:rPr>
        <w:t>i</w:t>
      </w:r>
      <w:r w:rsidRPr="005402C9">
        <w:rPr>
          <w:rFonts w:ascii="Trebuchet MS" w:hAnsi="Trebuchet MS"/>
          <w:lang w:val="ro-RO"/>
        </w:rPr>
        <w:t>: certificat de înregistrare fiscală, certificat constatator</w:t>
      </w:r>
      <w:r w:rsidR="00A274C0" w:rsidRPr="005402C9">
        <w:rPr>
          <w:rFonts w:ascii="Trebuchet MS" w:hAnsi="Trebuchet MS"/>
          <w:lang w:val="ro-RO"/>
        </w:rPr>
        <w:t xml:space="preserve"> emis de Oficiul Național al Registrului Comerțului din care să reiasă locația de implementare a subproiectului</w:t>
      </w:r>
      <w:r w:rsidRPr="005402C9">
        <w:rPr>
          <w:rFonts w:ascii="Trebuchet MS" w:hAnsi="Trebuchet MS"/>
          <w:lang w:val="ro-RO"/>
        </w:rPr>
        <w:t>, documente care atestă</w:t>
      </w:r>
      <w:r w:rsidR="00785D92">
        <w:rPr>
          <w:rFonts w:ascii="Trebuchet MS" w:hAnsi="Trebuchet MS"/>
          <w:lang w:val="ro-RO"/>
        </w:rPr>
        <w:t xml:space="preserve">, </w:t>
      </w:r>
      <w:r w:rsidR="00785D92" w:rsidRPr="005402C9">
        <w:rPr>
          <w:rFonts w:ascii="Trebuchet MS" w:hAnsi="Trebuchet MS"/>
          <w:lang w:val="ro-RO"/>
        </w:rPr>
        <w:t>pe durata implementării și a sustenabilității proiectului</w:t>
      </w:r>
      <w:r w:rsidR="00785D92">
        <w:rPr>
          <w:rFonts w:ascii="Trebuchet MS" w:hAnsi="Trebuchet MS"/>
          <w:lang w:val="ro-RO"/>
        </w:rPr>
        <w:t>,</w:t>
      </w:r>
      <w:r w:rsidRPr="005402C9">
        <w:rPr>
          <w:rFonts w:ascii="Trebuchet MS" w:hAnsi="Trebuchet MS"/>
          <w:lang w:val="ro-RO"/>
        </w:rPr>
        <w:t xml:space="preserve"> dreptul de proprietate/de administrare, concesiunea sau închirierea terenului și, după caz, proprietatea, concesiunea, administrarea sau închirierea clădirii unde se implementează investiția; </w:t>
      </w:r>
    </w:p>
    <w:p w14:paraId="2BC6518F" w14:textId="03459E42" w:rsidR="008B0C2A" w:rsidRDefault="008B0C2A">
      <w:pPr>
        <w:pStyle w:val="ListParagraph"/>
        <w:numPr>
          <w:ilvl w:val="0"/>
          <w:numId w:val="15"/>
        </w:numPr>
        <w:spacing w:line="276" w:lineRule="auto"/>
        <w:ind w:left="1080"/>
        <w:jc w:val="both"/>
        <w:rPr>
          <w:rFonts w:ascii="Trebuchet MS" w:hAnsi="Trebuchet MS"/>
          <w:lang w:val="ro-RO"/>
        </w:rPr>
      </w:pPr>
      <w:r w:rsidRPr="005402C9">
        <w:rPr>
          <w:rFonts w:ascii="Trebuchet MS" w:hAnsi="Trebuchet MS"/>
          <w:lang w:val="ro-RO"/>
        </w:rPr>
        <w:t>În cazul IMM-urilor va fi atașată declarația privind încadrarea solicitantului în categoria IMM și, dacă este cazul, calculul numărului mediu anual de angajați, a cifrei de afaceri anuale nete și a activelor totale pentru întreprinderile partenere sau legate, conform anexei I la Regulamentul (UE) nr. 651/2014;</w:t>
      </w:r>
    </w:p>
    <w:p w14:paraId="1A287600" w14:textId="1ADA0992" w:rsidR="00DD08E2" w:rsidRPr="005402C9" w:rsidRDefault="00DD08E2">
      <w:pPr>
        <w:pStyle w:val="ListParagraph"/>
        <w:numPr>
          <w:ilvl w:val="0"/>
          <w:numId w:val="15"/>
        </w:numPr>
        <w:spacing w:line="276" w:lineRule="auto"/>
        <w:ind w:left="1080"/>
        <w:jc w:val="both"/>
        <w:rPr>
          <w:rFonts w:ascii="Trebuchet MS" w:hAnsi="Trebuchet MS"/>
          <w:lang w:val="ro-RO"/>
        </w:rPr>
      </w:pPr>
      <w:r>
        <w:rPr>
          <w:rFonts w:ascii="Trebuchet MS" w:hAnsi="Trebuchet MS"/>
          <w:lang w:val="ro-RO"/>
        </w:rPr>
        <w:t xml:space="preserve">Hotărârea entității de angajare în implementarea subproiectului (hotărâre senat universitar / hotărâre </w:t>
      </w:r>
      <w:r w:rsidR="00194DAE">
        <w:rPr>
          <w:rFonts w:ascii="Trebuchet MS" w:hAnsi="Trebuchet MS"/>
          <w:lang w:val="ro-RO"/>
        </w:rPr>
        <w:t>a</w:t>
      </w:r>
      <w:r>
        <w:rPr>
          <w:rFonts w:ascii="Trebuchet MS" w:hAnsi="Trebuchet MS"/>
          <w:lang w:val="ro-RO"/>
        </w:rPr>
        <w:t xml:space="preserve">dunare generală a acționarilor) </w:t>
      </w:r>
    </w:p>
    <w:p w14:paraId="63117F63" w14:textId="6DCE7997" w:rsidR="00974028" w:rsidRPr="005402C9" w:rsidRDefault="00974028">
      <w:pPr>
        <w:pStyle w:val="ListParagraph"/>
        <w:numPr>
          <w:ilvl w:val="0"/>
          <w:numId w:val="15"/>
        </w:numPr>
        <w:spacing w:line="276" w:lineRule="auto"/>
        <w:ind w:left="1080"/>
        <w:jc w:val="both"/>
        <w:rPr>
          <w:rFonts w:ascii="Trebuchet MS" w:hAnsi="Trebuchet MS"/>
          <w:lang w:val="ro-RO"/>
        </w:rPr>
      </w:pPr>
      <w:r w:rsidRPr="005402C9">
        <w:rPr>
          <w:rFonts w:ascii="Trebuchet MS" w:hAnsi="Trebuchet MS"/>
          <w:lang w:val="ro-RO"/>
        </w:rPr>
        <w:t>Fișa de proiect a participantului indirect (Project factsheet Indirect Participant) completată potrivit Ordinului</w:t>
      </w:r>
      <w:r w:rsidR="00C3251F">
        <w:rPr>
          <w:rFonts w:ascii="Trebuchet MS" w:hAnsi="Trebuchet MS"/>
          <w:lang w:val="ro-RO"/>
        </w:rPr>
        <w:t xml:space="preserve"> nr.</w:t>
      </w:r>
      <w:r w:rsidRPr="005402C9">
        <w:rPr>
          <w:rFonts w:ascii="Trebuchet MS" w:hAnsi="Trebuchet MS"/>
          <w:lang w:val="ro-RO"/>
        </w:rPr>
        <w:t xml:space="preserve"> 99/01.02.2022.</w:t>
      </w:r>
    </w:p>
    <w:p w14:paraId="142049F9" w14:textId="55BB5704" w:rsidR="008620EF" w:rsidRPr="005402C9" w:rsidRDefault="008B0C2A" w:rsidP="00AB5FF3">
      <w:pPr>
        <w:spacing w:line="276" w:lineRule="auto"/>
        <w:jc w:val="both"/>
        <w:rPr>
          <w:sz w:val="22"/>
          <w:szCs w:val="22"/>
        </w:rPr>
      </w:pPr>
      <w:r w:rsidRPr="005402C9">
        <w:rPr>
          <w:sz w:val="22"/>
          <w:szCs w:val="22"/>
        </w:rPr>
        <w:t>Anexele</w:t>
      </w:r>
      <w:r w:rsidR="00974028" w:rsidRPr="005402C9">
        <w:rPr>
          <w:sz w:val="22"/>
          <w:szCs w:val="22"/>
        </w:rPr>
        <w:t xml:space="preserve"> prevăzute la pct A și B mai sus vor</w:t>
      </w:r>
      <w:r w:rsidR="00F60438" w:rsidRPr="005402C9">
        <w:rPr>
          <w:sz w:val="22"/>
          <w:szCs w:val="22"/>
        </w:rPr>
        <w:t xml:space="preserve"> face obiectul verificării eligibilității solicitantului și a </w:t>
      </w:r>
      <w:r w:rsidR="00974028" w:rsidRPr="005402C9">
        <w:rPr>
          <w:sz w:val="22"/>
          <w:szCs w:val="22"/>
        </w:rPr>
        <w:t>sub</w:t>
      </w:r>
      <w:r w:rsidR="00F60438" w:rsidRPr="005402C9">
        <w:rPr>
          <w:sz w:val="22"/>
          <w:szCs w:val="22"/>
        </w:rPr>
        <w:t>proiectului</w:t>
      </w:r>
      <w:r w:rsidR="00974028" w:rsidRPr="005402C9">
        <w:rPr>
          <w:sz w:val="22"/>
          <w:szCs w:val="22"/>
        </w:rPr>
        <w:t>.</w:t>
      </w:r>
      <w:r w:rsidR="00F60438" w:rsidRPr="005402C9">
        <w:rPr>
          <w:sz w:val="22"/>
          <w:szCs w:val="22"/>
        </w:rPr>
        <w:t xml:space="preserve"> </w:t>
      </w:r>
    </w:p>
    <w:p w14:paraId="087AF1C4" w14:textId="77777777" w:rsidR="007D1C35" w:rsidRPr="005402C9" w:rsidRDefault="009F679F" w:rsidP="009F679F">
      <w:pPr>
        <w:spacing w:before="0" w:after="0" w:line="276" w:lineRule="auto"/>
        <w:jc w:val="both"/>
        <w:rPr>
          <w:sz w:val="22"/>
          <w:szCs w:val="22"/>
        </w:rPr>
      </w:pPr>
      <w:r w:rsidRPr="005402C9">
        <w:rPr>
          <w:sz w:val="22"/>
          <w:szCs w:val="22"/>
        </w:rPr>
        <w:t>Activitățile eligibile a fi finanțate prin intermediul investiției trebuie să fie detaliate în acordul de colaborare efectivă încheiat cu un participan</w:t>
      </w:r>
      <w:r w:rsidR="007D1C35" w:rsidRPr="005402C9">
        <w:rPr>
          <w:sz w:val="22"/>
          <w:szCs w:val="22"/>
        </w:rPr>
        <w:t xml:space="preserve">t </w:t>
      </w:r>
      <w:r w:rsidRPr="005402C9">
        <w:rPr>
          <w:sz w:val="22"/>
          <w:szCs w:val="22"/>
        </w:rPr>
        <w:t>direc</w:t>
      </w:r>
      <w:r w:rsidR="007D1C35" w:rsidRPr="005402C9">
        <w:rPr>
          <w:sz w:val="22"/>
          <w:szCs w:val="22"/>
        </w:rPr>
        <w:t>t</w:t>
      </w:r>
      <w:r w:rsidRPr="005402C9">
        <w:rPr>
          <w:sz w:val="22"/>
          <w:szCs w:val="22"/>
        </w:rPr>
        <w:t xml:space="preserve"> selecta</w:t>
      </w:r>
      <w:r w:rsidR="007D1C35" w:rsidRPr="005402C9">
        <w:rPr>
          <w:sz w:val="22"/>
          <w:szCs w:val="22"/>
        </w:rPr>
        <w:t>t</w:t>
      </w:r>
      <w:r w:rsidRPr="005402C9">
        <w:rPr>
          <w:sz w:val="22"/>
          <w:szCs w:val="22"/>
        </w:rPr>
        <w:t xml:space="preserve"> să facă parte din PIIEC și </w:t>
      </w:r>
      <w:r w:rsidR="007D1C35" w:rsidRPr="005402C9">
        <w:rPr>
          <w:sz w:val="22"/>
          <w:szCs w:val="22"/>
        </w:rPr>
        <w:t xml:space="preserve">trebuie să evidențieze </w:t>
      </w:r>
      <w:r w:rsidRPr="005402C9">
        <w:rPr>
          <w:sz w:val="22"/>
          <w:szCs w:val="22"/>
        </w:rPr>
        <w:t>contribu</w:t>
      </w:r>
      <w:r w:rsidR="007D1C35" w:rsidRPr="005402C9">
        <w:rPr>
          <w:sz w:val="22"/>
          <w:szCs w:val="22"/>
        </w:rPr>
        <w:t>ția</w:t>
      </w:r>
      <w:r w:rsidRPr="005402C9">
        <w:rPr>
          <w:sz w:val="22"/>
          <w:szCs w:val="22"/>
        </w:rPr>
        <w:t xml:space="preserve"> la obiectivul proiectului participantului direct prin activități de cercetare, dezvoltare și inovare </w:t>
      </w:r>
      <w:r w:rsidR="007D1C35" w:rsidRPr="005402C9">
        <w:rPr>
          <w:sz w:val="22"/>
          <w:szCs w:val="22"/>
        </w:rPr>
        <w:t xml:space="preserve">cu </w:t>
      </w:r>
      <w:r w:rsidRPr="005402C9">
        <w:rPr>
          <w:sz w:val="22"/>
          <w:szCs w:val="22"/>
        </w:rPr>
        <w:t>caracter inovator major sau valoarea adăugată semnificativă în materie de cercetare, dezvoltare și inovare, ținând cont de stadiul atins de tehnologie în sectorul în cauză.</w:t>
      </w:r>
      <w:r w:rsidR="007D1C35" w:rsidRPr="005402C9">
        <w:rPr>
          <w:sz w:val="22"/>
          <w:szCs w:val="22"/>
        </w:rPr>
        <w:t xml:space="preserve"> </w:t>
      </w:r>
    </w:p>
    <w:p w14:paraId="751E4CE9" w14:textId="77777777" w:rsidR="007D1C35" w:rsidRPr="005402C9" w:rsidRDefault="007D1C35" w:rsidP="007D1C35">
      <w:pPr>
        <w:spacing w:before="0" w:after="0" w:line="276" w:lineRule="auto"/>
        <w:jc w:val="both"/>
        <w:rPr>
          <w:sz w:val="22"/>
          <w:szCs w:val="22"/>
        </w:rPr>
      </w:pPr>
    </w:p>
    <w:p w14:paraId="1FE9181A" w14:textId="1F14BCEA" w:rsidR="007D1C35" w:rsidRPr="005402C9" w:rsidRDefault="007D1C35" w:rsidP="007D1C35">
      <w:pPr>
        <w:spacing w:before="0" w:after="0" w:line="276" w:lineRule="auto"/>
        <w:jc w:val="both"/>
        <w:rPr>
          <w:sz w:val="22"/>
          <w:szCs w:val="22"/>
        </w:rPr>
      </w:pPr>
      <w:r w:rsidRPr="005402C9">
        <w:rPr>
          <w:sz w:val="22"/>
          <w:szCs w:val="22"/>
        </w:rPr>
        <w:t xml:space="preserve">Aceste activități pot genera cheltuielile eligibile prevăzute </w:t>
      </w:r>
      <w:r w:rsidR="00B53A13">
        <w:rPr>
          <w:sz w:val="22"/>
          <w:szCs w:val="22"/>
        </w:rPr>
        <w:t>în</w:t>
      </w:r>
      <w:r w:rsidRPr="005402C9">
        <w:rPr>
          <w:sz w:val="22"/>
          <w:szCs w:val="22"/>
        </w:rPr>
        <w:t xml:space="preserve"> secțiunea 3 din prezentul ghid.</w:t>
      </w:r>
    </w:p>
    <w:p w14:paraId="76E69119" w14:textId="2F07E73C" w:rsidR="00762AE1" w:rsidRPr="005402C9" w:rsidRDefault="00CB50B8" w:rsidP="007D1C35">
      <w:pPr>
        <w:spacing w:line="276" w:lineRule="auto"/>
        <w:jc w:val="both"/>
        <w:rPr>
          <w:sz w:val="22"/>
          <w:szCs w:val="22"/>
        </w:rPr>
      </w:pPr>
      <w:r w:rsidRPr="005402C9">
        <w:rPr>
          <w:sz w:val="22"/>
          <w:szCs w:val="22"/>
        </w:rPr>
        <w:t xml:space="preserve">Solicitanții vor deschide sau vor prezenta un cont distinct, destinat </w:t>
      </w:r>
      <w:r w:rsidR="00EA3571">
        <w:rPr>
          <w:sz w:val="22"/>
          <w:szCs w:val="22"/>
        </w:rPr>
        <w:t xml:space="preserve">exclusiv </w:t>
      </w:r>
      <w:r w:rsidRPr="005402C9">
        <w:rPr>
          <w:sz w:val="22"/>
          <w:szCs w:val="22"/>
        </w:rPr>
        <w:t xml:space="preserve">pentru gestionarea fondurilor </w:t>
      </w:r>
      <w:r w:rsidR="006D7E74" w:rsidRPr="005402C9">
        <w:rPr>
          <w:sz w:val="22"/>
          <w:szCs w:val="22"/>
        </w:rPr>
        <w:t>aferente</w:t>
      </w:r>
      <w:r w:rsidRPr="005402C9">
        <w:rPr>
          <w:sz w:val="22"/>
          <w:szCs w:val="22"/>
        </w:rPr>
        <w:t xml:space="preserve"> subproiect</w:t>
      </w:r>
      <w:r w:rsidR="006D7E74" w:rsidRPr="005402C9">
        <w:rPr>
          <w:sz w:val="22"/>
          <w:szCs w:val="22"/>
        </w:rPr>
        <w:t>ului</w:t>
      </w:r>
      <w:r w:rsidRPr="005402C9">
        <w:rPr>
          <w:sz w:val="22"/>
          <w:szCs w:val="22"/>
        </w:rPr>
        <w:t xml:space="preserve"> la o unitate bancară</w:t>
      </w:r>
      <w:r w:rsidR="00C3251F">
        <w:rPr>
          <w:sz w:val="22"/>
          <w:szCs w:val="22"/>
        </w:rPr>
        <w:t xml:space="preserve"> </w:t>
      </w:r>
      <w:r w:rsidRPr="005402C9">
        <w:rPr>
          <w:sz w:val="22"/>
          <w:szCs w:val="22"/>
        </w:rPr>
        <w:t>sau la Trezorerie.</w:t>
      </w:r>
      <w:r w:rsidR="007D1C35" w:rsidRPr="005402C9">
        <w:rPr>
          <w:sz w:val="22"/>
          <w:szCs w:val="22"/>
        </w:rPr>
        <w:t xml:space="preserve"> </w:t>
      </w:r>
    </w:p>
    <w:p w14:paraId="08AB3342" w14:textId="14BBADE9" w:rsidR="00762AE1" w:rsidRPr="005402C9" w:rsidRDefault="00762AE1" w:rsidP="00762AE1">
      <w:pPr>
        <w:spacing w:before="0" w:after="0" w:line="276" w:lineRule="auto"/>
        <w:jc w:val="both"/>
        <w:rPr>
          <w:sz w:val="22"/>
          <w:szCs w:val="22"/>
        </w:rPr>
      </w:pPr>
      <w:r w:rsidRPr="005402C9">
        <w:rPr>
          <w:sz w:val="22"/>
          <w:szCs w:val="22"/>
        </w:rPr>
        <w:t xml:space="preserve">Perioada de implementare a subproiectului </w:t>
      </w:r>
      <w:r w:rsidR="00762137" w:rsidRPr="005402C9">
        <w:rPr>
          <w:sz w:val="22"/>
          <w:szCs w:val="22"/>
        </w:rPr>
        <w:t xml:space="preserve">se referă la perioada în care se vor realiza activitățile subproiectului și </w:t>
      </w:r>
      <w:r w:rsidRPr="005402C9">
        <w:rPr>
          <w:sz w:val="22"/>
          <w:szCs w:val="22"/>
        </w:rPr>
        <w:t>este stabilită în concordanță cu acordul de colaborare pentru proiectul participantului direct, fără să depășească data de 31.12.2028.</w:t>
      </w:r>
    </w:p>
    <w:p w14:paraId="1E4DC0A9" w14:textId="77777777" w:rsidR="00762137" w:rsidRPr="005402C9" w:rsidRDefault="00762137" w:rsidP="00762AE1">
      <w:pPr>
        <w:spacing w:before="0" w:after="0" w:line="276" w:lineRule="auto"/>
        <w:jc w:val="both"/>
        <w:rPr>
          <w:sz w:val="22"/>
          <w:szCs w:val="22"/>
        </w:rPr>
      </w:pPr>
    </w:p>
    <w:p w14:paraId="5D608027" w14:textId="79A00D7C" w:rsidR="00597B9F" w:rsidRPr="005402C9" w:rsidRDefault="00762AE1" w:rsidP="00B53A13">
      <w:pPr>
        <w:spacing w:before="0" w:after="0" w:line="276" w:lineRule="auto"/>
        <w:jc w:val="both"/>
        <w:rPr>
          <w:sz w:val="22"/>
          <w:szCs w:val="22"/>
        </w:rPr>
      </w:pPr>
      <w:r w:rsidRPr="005402C9">
        <w:rPr>
          <w:sz w:val="22"/>
          <w:szCs w:val="22"/>
        </w:rPr>
        <w:t>Perioada de sustenabilitate a proiectului</w:t>
      </w:r>
      <w:r w:rsidR="00762137" w:rsidRPr="005402C9">
        <w:rPr>
          <w:sz w:val="22"/>
          <w:szCs w:val="22"/>
        </w:rPr>
        <w:t xml:space="preserve">, respectiv </w:t>
      </w:r>
      <w:r w:rsidRPr="005402C9">
        <w:rPr>
          <w:sz w:val="22"/>
          <w:szCs w:val="22"/>
        </w:rPr>
        <w:t>perioada de timp, ulterioară perioadei de implementare a proiectului, în care investițiile realizate prin proiect își vor produce efectele și rezultatele scontate</w:t>
      </w:r>
      <w:r w:rsidR="00762137" w:rsidRPr="005402C9">
        <w:rPr>
          <w:sz w:val="22"/>
          <w:szCs w:val="22"/>
        </w:rPr>
        <w:t xml:space="preserve"> este stabilită la 3 (trei) ani.</w:t>
      </w:r>
      <w:r w:rsidRPr="005402C9">
        <w:rPr>
          <w:sz w:val="22"/>
          <w:szCs w:val="22"/>
        </w:rPr>
        <w:t xml:space="preserve">  </w:t>
      </w:r>
    </w:p>
    <w:p w14:paraId="71161D99" w14:textId="7B3660D2" w:rsidR="00BF335E" w:rsidRPr="005402C9" w:rsidRDefault="00BF335E" w:rsidP="002E6DBD">
      <w:pPr>
        <w:pStyle w:val="Heading2"/>
        <w:rPr>
          <w:rFonts w:eastAsia="Calibri" w:cs="Times New Roman"/>
          <w:sz w:val="22"/>
          <w:szCs w:val="22"/>
        </w:rPr>
      </w:pPr>
      <w:bookmarkStart w:id="44" w:name="_Toc150159460"/>
      <w:r w:rsidRPr="005402C9">
        <w:rPr>
          <w:rFonts w:eastAsia="Calibri" w:cs="Times New Roman"/>
          <w:sz w:val="22"/>
          <w:szCs w:val="22"/>
        </w:rPr>
        <w:t>5.2 Capacitatea instituțională:</w:t>
      </w:r>
      <w:bookmarkEnd w:id="44"/>
    </w:p>
    <w:p w14:paraId="1DD881D5" w14:textId="3F50D455" w:rsidR="00BF335E" w:rsidRPr="005402C9" w:rsidRDefault="006D7E74" w:rsidP="00BF335E">
      <w:pPr>
        <w:spacing w:line="276" w:lineRule="auto"/>
        <w:jc w:val="both"/>
        <w:rPr>
          <w:sz w:val="22"/>
          <w:szCs w:val="22"/>
        </w:rPr>
      </w:pPr>
      <w:r w:rsidRPr="005402C9">
        <w:rPr>
          <w:sz w:val="22"/>
          <w:szCs w:val="22"/>
        </w:rPr>
        <w:t>S</w:t>
      </w:r>
      <w:r w:rsidR="00BF335E" w:rsidRPr="005402C9">
        <w:rPr>
          <w:sz w:val="22"/>
          <w:szCs w:val="22"/>
        </w:rPr>
        <w:t>olicitantul va oferi informații despre capacitatea instituțională: administrativă (informații referitoare la echipa de implementare), financiară (demonstrează că este în măsură să garanteze lichiditățile necesare pentru o finanțare adecvată a proiectului), tehnică (indică expertiza tehnică deținută) și juridică (statutul juridic al solicitantului).</w:t>
      </w:r>
    </w:p>
    <w:p w14:paraId="4FED0BAC" w14:textId="14786B1A" w:rsidR="00BF335E" w:rsidRPr="005402C9" w:rsidRDefault="00C93344" w:rsidP="002E6DBD">
      <w:pPr>
        <w:pStyle w:val="Heading2"/>
        <w:rPr>
          <w:sz w:val="22"/>
          <w:szCs w:val="22"/>
        </w:rPr>
      </w:pPr>
      <w:bookmarkStart w:id="45" w:name="_Toc150159461"/>
      <w:r w:rsidRPr="005402C9">
        <w:rPr>
          <w:rFonts w:eastAsia="Calibri" w:cs="Times New Roman"/>
          <w:sz w:val="22"/>
          <w:szCs w:val="22"/>
        </w:rPr>
        <w:t xml:space="preserve">5.3 </w:t>
      </w:r>
      <w:r w:rsidR="00F41DC3" w:rsidRPr="005402C9">
        <w:rPr>
          <w:rFonts w:eastAsia="Calibri" w:cs="Times New Roman"/>
          <w:sz w:val="22"/>
          <w:szCs w:val="22"/>
        </w:rPr>
        <w:t>Elaborarea bugetului</w:t>
      </w:r>
      <w:r w:rsidRPr="005402C9">
        <w:rPr>
          <w:sz w:val="22"/>
          <w:szCs w:val="22"/>
        </w:rPr>
        <w:t>:</w:t>
      </w:r>
      <w:bookmarkEnd w:id="45"/>
      <w:r w:rsidRPr="005402C9">
        <w:rPr>
          <w:sz w:val="22"/>
          <w:szCs w:val="22"/>
        </w:rPr>
        <w:t xml:space="preserve"> </w:t>
      </w:r>
    </w:p>
    <w:p w14:paraId="3BC59D18" w14:textId="5D3EACFB" w:rsidR="00F41DC3" w:rsidRPr="005402C9" w:rsidRDefault="000024DB" w:rsidP="00B53A13">
      <w:pPr>
        <w:spacing w:line="276" w:lineRule="auto"/>
        <w:jc w:val="both"/>
        <w:rPr>
          <w:bCs/>
          <w:sz w:val="22"/>
          <w:szCs w:val="22"/>
        </w:rPr>
      </w:pPr>
      <w:r w:rsidRPr="005402C9">
        <w:rPr>
          <w:bCs/>
          <w:sz w:val="22"/>
          <w:szCs w:val="22"/>
        </w:rPr>
        <w:t>C</w:t>
      </w:r>
      <w:r w:rsidR="00F41DC3" w:rsidRPr="005402C9">
        <w:rPr>
          <w:bCs/>
          <w:sz w:val="22"/>
          <w:szCs w:val="22"/>
        </w:rPr>
        <w:t>ererea de finanțare va fi însoțită de documente justificative pentru fiecare tip de cost (devize aprobate/contract de lucrări/servicii/achiziții semnate, contracte similare / oferte de preţ etc.) sau referirea la standardele de cost existente</w:t>
      </w:r>
      <w:r w:rsidR="00A71D5A" w:rsidRPr="005402C9">
        <w:rPr>
          <w:bCs/>
          <w:sz w:val="22"/>
          <w:szCs w:val="22"/>
        </w:rPr>
        <w:t>.</w:t>
      </w:r>
    </w:p>
    <w:p w14:paraId="27286B13" w14:textId="77777777" w:rsidR="00F41DC3" w:rsidRPr="005402C9" w:rsidRDefault="00F41DC3" w:rsidP="00A813DF">
      <w:pPr>
        <w:spacing w:line="276" w:lineRule="auto"/>
        <w:jc w:val="both"/>
        <w:rPr>
          <w:sz w:val="22"/>
          <w:szCs w:val="22"/>
        </w:rPr>
      </w:pPr>
      <w:r w:rsidRPr="005402C9">
        <w:rPr>
          <w:sz w:val="22"/>
          <w:szCs w:val="22"/>
        </w:rPr>
        <w:t xml:space="preserve">Se va avea în vedere ca activitățile previzionate să fie corelate cu planul de achiziții, având la bază o planificare realistă a tuturor activităților, ținând cont atât de resursele umane, cât și de resursele materiale alocate implementării proiectului. </w:t>
      </w:r>
    </w:p>
    <w:p w14:paraId="54A08B12" w14:textId="0993354A" w:rsidR="00F41DC3" w:rsidRPr="005402C9" w:rsidRDefault="00F41DC3" w:rsidP="00A813DF">
      <w:pPr>
        <w:spacing w:line="276" w:lineRule="auto"/>
        <w:jc w:val="both"/>
        <w:rPr>
          <w:sz w:val="22"/>
          <w:szCs w:val="22"/>
        </w:rPr>
      </w:pPr>
      <w:r w:rsidRPr="005402C9">
        <w:rPr>
          <w:sz w:val="22"/>
          <w:szCs w:val="22"/>
        </w:rPr>
        <w:t>Se va avea în vedere cuprinderea și evidențierea valorii investiției care contribuie la tranziția verde și, respectiv, la tranziția digitală în conformitate cu prevederile Regulamentului</w:t>
      </w:r>
      <w:r w:rsidR="00C3251F">
        <w:rPr>
          <w:sz w:val="22"/>
          <w:szCs w:val="22"/>
        </w:rPr>
        <w:t xml:space="preserve"> (UE) nr. </w:t>
      </w:r>
      <w:r w:rsidRPr="005402C9">
        <w:rPr>
          <w:sz w:val="22"/>
          <w:szCs w:val="22"/>
        </w:rPr>
        <w:t xml:space="preserve"> 241/2021 de instituire a Mecanismului de redresare și reziliență. </w:t>
      </w:r>
    </w:p>
    <w:p w14:paraId="2E042335" w14:textId="151C4082" w:rsidR="00F41DC3" w:rsidRPr="005402C9" w:rsidRDefault="00F41DC3" w:rsidP="00A813DF">
      <w:pPr>
        <w:spacing w:line="276" w:lineRule="auto"/>
        <w:jc w:val="both"/>
        <w:rPr>
          <w:sz w:val="22"/>
          <w:szCs w:val="22"/>
        </w:rPr>
      </w:pPr>
      <w:r w:rsidRPr="005402C9">
        <w:rPr>
          <w:sz w:val="22"/>
          <w:szCs w:val="22"/>
        </w:rPr>
        <w:t>În defalcarea bugetului pe ani se va ține cont de proceduri</w:t>
      </w:r>
      <w:r w:rsidR="00A813DF">
        <w:rPr>
          <w:sz w:val="22"/>
          <w:szCs w:val="22"/>
        </w:rPr>
        <w:t>le</w:t>
      </w:r>
      <w:r w:rsidRPr="005402C9">
        <w:rPr>
          <w:sz w:val="22"/>
          <w:szCs w:val="22"/>
        </w:rPr>
        <w:t xml:space="preserve"> de achiziție şi de durata acestora. Planificarea propusă se va transforma ulterior în calendar al cererilor de </w:t>
      </w:r>
      <w:r w:rsidR="00A813DF">
        <w:rPr>
          <w:sz w:val="22"/>
          <w:szCs w:val="22"/>
        </w:rPr>
        <w:t>transfer</w:t>
      </w:r>
      <w:r w:rsidRPr="005402C9">
        <w:rPr>
          <w:sz w:val="22"/>
          <w:szCs w:val="22"/>
        </w:rPr>
        <w:t xml:space="preserve"> ce vor fi anexe la contractul de finanțare.  </w:t>
      </w:r>
    </w:p>
    <w:p w14:paraId="13AA6F45" w14:textId="77777777" w:rsidR="00597B9F" w:rsidRPr="005402C9" w:rsidRDefault="00597B9F" w:rsidP="00F41DC3">
      <w:pPr>
        <w:jc w:val="both"/>
        <w:rPr>
          <w:sz w:val="22"/>
          <w:szCs w:val="22"/>
        </w:rPr>
      </w:pPr>
    </w:p>
    <w:p w14:paraId="5BB518C3" w14:textId="77777777" w:rsidR="00B54140" w:rsidRPr="005402C9" w:rsidRDefault="00A71D5A" w:rsidP="00B54140">
      <w:pPr>
        <w:pStyle w:val="Heading2"/>
        <w:rPr>
          <w:rFonts w:eastAsia="Calibri" w:cs="Times New Roman"/>
          <w:b w:val="0"/>
          <w:bCs/>
          <w:sz w:val="22"/>
          <w:szCs w:val="22"/>
        </w:rPr>
      </w:pPr>
      <w:bookmarkStart w:id="46" w:name="_Toc94705957"/>
      <w:bookmarkStart w:id="47" w:name="_Toc90552418"/>
      <w:bookmarkStart w:id="48" w:name="_Toc447128231"/>
      <w:bookmarkStart w:id="49" w:name="_Toc426616768"/>
      <w:bookmarkStart w:id="50" w:name="_Toc150159462"/>
      <w:r w:rsidRPr="005402C9">
        <w:rPr>
          <w:rFonts w:eastAsia="Calibri" w:cs="Times New Roman"/>
          <w:bCs/>
          <w:sz w:val="22"/>
          <w:szCs w:val="22"/>
        </w:rPr>
        <w:t>5.4</w:t>
      </w:r>
      <w:r w:rsidR="00F41DC3" w:rsidRPr="005402C9">
        <w:rPr>
          <w:rFonts w:eastAsia="Calibri" w:cs="Times New Roman"/>
          <w:bCs/>
          <w:sz w:val="22"/>
          <w:szCs w:val="22"/>
        </w:rPr>
        <w:t xml:space="preserve"> Limba utilizată în completarea cererii de finanțare</w:t>
      </w:r>
      <w:bookmarkEnd w:id="46"/>
      <w:bookmarkEnd w:id="47"/>
      <w:bookmarkEnd w:id="48"/>
      <w:bookmarkEnd w:id="49"/>
      <w:r w:rsidRPr="005402C9">
        <w:rPr>
          <w:rFonts w:eastAsia="Calibri" w:cs="Times New Roman"/>
          <w:b w:val="0"/>
          <w:bCs/>
          <w:sz w:val="22"/>
          <w:szCs w:val="22"/>
        </w:rPr>
        <w:t>:</w:t>
      </w:r>
      <w:bookmarkEnd w:id="50"/>
      <w:r w:rsidRPr="005402C9">
        <w:rPr>
          <w:rFonts w:eastAsia="Calibri" w:cs="Times New Roman"/>
          <w:b w:val="0"/>
          <w:bCs/>
          <w:sz w:val="22"/>
          <w:szCs w:val="22"/>
        </w:rPr>
        <w:t xml:space="preserve"> </w:t>
      </w:r>
    </w:p>
    <w:p w14:paraId="513EA244" w14:textId="6F4F9932" w:rsidR="00F41DC3" w:rsidRPr="005402C9" w:rsidRDefault="00F41DC3" w:rsidP="0013489D">
      <w:pPr>
        <w:pStyle w:val="Heading2"/>
        <w:rPr>
          <w:b w:val="0"/>
          <w:bCs/>
          <w:sz w:val="22"/>
          <w:szCs w:val="22"/>
        </w:rPr>
      </w:pPr>
      <w:bookmarkStart w:id="51" w:name="_Toc150159463"/>
      <w:r w:rsidRPr="005402C9">
        <w:rPr>
          <w:b w:val="0"/>
          <w:bCs/>
          <w:sz w:val="22"/>
          <w:szCs w:val="22"/>
        </w:rPr>
        <w:t>Limba utilizată în completarea cererii de finanțare este limba română.</w:t>
      </w:r>
      <w:bookmarkEnd w:id="51"/>
    </w:p>
    <w:p w14:paraId="60A7412A" w14:textId="77777777" w:rsidR="00597B9F" w:rsidRPr="005402C9" w:rsidRDefault="00597B9F" w:rsidP="0013489D">
      <w:pPr>
        <w:spacing w:line="276" w:lineRule="auto"/>
        <w:jc w:val="both"/>
        <w:rPr>
          <w:sz w:val="22"/>
          <w:szCs w:val="22"/>
        </w:rPr>
      </w:pPr>
    </w:p>
    <w:p w14:paraId="5628ACF7" w14:textId="50E780B3" w:rsidR="00B54140" w:rsidRPr="005402C9" w:rsidRDefault="00A71D5A" w:rsidP="00B54140">
      <w:pPr>
        <w:pStyle w:val="Heading2"/>
        <w:rPr>
          <w:rFonts w:eastAsia="Calibri" w:cs="Times New Roman"/>
          <w:b w:val="0"/>
          <w:bCs/>
          <w:sz w:val="22"/>
          <w:szCs w:val="22"/>
        </w:rPr>
      </w:pPr>
      <w:bookmarkStart w:id="52" w:name="_Toc94705959"/>
      <w:bookmarkStart w:id="53" w:name="_Toc90552420"/>
      <w:bookmarkStart w:id="54" w:name="_Toc447128238"/>
      <w:bookmarkStart w:id="55" w:name="_Toc426616774"/>
      <w:bookmarkStart w:id="56" w:name="_Toc150159464"/>
      <w:r w:rsidRPr="005402C9">
        <w:rPr>
          <w:rFonts w:eastAsia="Calibri" w:cs="Times New Roman"/>
          <w:bCs/>
          <w:sz w:val="22"/>
          <w:szCs w:val="22"/>
        </w:rPr>
        <w:t xml:space="preserve">5.6 </w:t>
      </w:r>
      <w:r w:rsidR="00F41DC3" w:rsidRPr="005402C9">
        <w:rPr>
          <w:rFonts w:eastAsia="Calibri" w:cs="Times New Roman"/>
          <w:bCs/>
          <w:sz w:val="22"/>
          <w:szCs w:val="22"/>
        </w:rPr>
        <w:t>Semnarea cererii de finanțare și a anexe</w:t>
      </w:r>
      <w:bookmarkEnd w:id="52"/>
      <w:bookmarkEnd w:id="53"/>
      <w:bookmarkEnd w:id="54"/>
      <w:bookmarkEnd w:id="55"/>
      <w:r w:rsidR="00D1698C" w:rsidRPr="005402C9">
        <w:rPr>
          <w:rFonts w:eastAsia="Calibri" w:cs="Times New Roman"/>
          <w:sz w:val="22"/>
          <w:szCs w:val="22"/>
        </w:rPr>
        <w:t>lor</w:t>
      </w:r>
      <w:r w:rsidRPr="005402C9">
        <w:rPr>
          <w:rFonts w:eastAsia="Calibri" w:cs="Times New Roman"/>
          <w:b w:val="0"/>
          <w:bCs/>
          <w:sz w:val="22"/>
          <w:szCs w:val="22"/>
        </w:rPr>
        <w:t>:</w:t>
      </w:r>
      <w:bookmarkEnd w:id="56"/>
      <w:r w:rsidRPr="005402C9">
        <w:rPr>
          <w:rFonts w:eastAsia="Calibri" w:cs="Times New Roman"/>
          <w:b w:val="0"/>
          <w:bCs/>
          <w:sz w:val="22"/>
          <w:szCs w:val="22"/>
        </w:rPr>
        <w:t xml:space="preserve"> </w:t>
      </w:r>
    </w:p>
    <w:p w14:paraId="42A4071A" w14:textId="4265CAFA" w:rsidR="00F41DC3" w:rsidRPr="005402C9" w:rsidRDefault="00F41DC3" w:rsidP="0060796E">
      <w:pPr>
        <w:spacing w:line="276" w:lineRule="auto"/>
        <w:jc w:val="both"/>
        <w:rPr>
          <w:sz w:val="22"/>
          <w:szCs w:val="22"/>
        </w:rPr>
      </w:pPr>
      <w:r w:rsidRPr="005402C9">
        <w:rPr>
          <w:sz w:val="22"/>
          <w:szCs w:val="22"/>
        </w:rPr>
        <w:t>Pentru transmiterea cererilor de finanțare prin aplicația informatica, semnătura electronică extinsă a reprezentantului legal/persoanei împuternicite, trebuie să fie certificată în conformitate cu prevederile legale în vigoare.</w:t>
      </w:r>
    </w:p>
    <w:p w14:paraId="5BE31908" w14:textId="2864FADC" w:rsidR="00A71D5A" w:rsidRPr="005402C9" w:rsidRDefault="00A71D5A" w:rsidP="0060796E">
      <w:pPr>
        <w:spacing w:before="0" w:after="0" w:line="276" w:lineRule="auto"/>
        <w:jc w:val="both"/>
        <w:rPr>
          <w:sz w:val="22"/>
          <w:szCs w:val="22"/>
        </w:rPr>
      </w:pPr>
      <w:r w:rsidRPr="005402C9">
        <w:rPr>
          <w:sz w:val="22"/>
          <w:szCs w:val="22"/>
        </w:rPr>
        <w:t xml:space="preserve">Declaraţiile în nume propriu ale reprezentantului legal al solicitantului </w:t>
      </w:r>
      <w:r w:rsidR="0060796E">
        <w:rPr>
          <w:sz w:val="22"/>
          <w:szCs w:val="22"/>
        </w:rPr>
        <w:t xml:space="preserve">vor </w:t>
      </w:r>
      <w:r w:rsidRPr="005402C9">
        <w:rPr>
          <w:sz w:val="22"/>
          <w:szCs w:val="22"/>
        </w:rPr>
        <w:t>fi semnate electronic, cu semnătură electronică extinsă, certificată în conformitate cu prevederile legale în vigoare. În situația în care există împuternicit pentru semnarea documentelor, declarațiile semnate de către reprezentantul legal în nume propriu (olograf sau electronic) vor fi contrasemnate electronic de către împuternicit.</w:t>
      </w:r>
    </w:p>
    <w:p w14:paraId="32441C47" w14:textId="77777777" w:rsidR="00A71D5A" w:rsidRPr="005402C9" w:rsidRDefault="00A71D5A" w:rsidP="0060796E">
      <w:pPr>
        <w:spacing w:line="276" w:lineRule="auto"/>
        <w:jc w:val="both"/>
        <w:rPr>
          <w:sz w:val="22"/>
          <w:szCs w:val="22"/>
        </w:rPr>
      </w:pPr>
      <w:r w:rsidRPr="005402C9">
        <w:rPr>
          <w:sz w:val="22"/>
          <w:szCs w:val="22"/>
        </w:rPr>
        <w:t>Documentele anexate la cererea de finanțare vor fi transmise în copie format pdf. sub semnătură electronică extinsă certificată a reprezentantului legal al solicitantului/persoanei împuternicite, după caz.</w:t>
      </w:r>
    </w:p>
    <w:p w14:paraId="390971C8" w14:textId="77777777" w:rsidR="00160910" w:rsidRPr="005402C9" w:rsidRDefault="00160910" w:rsidP="00C93344">
      <w:pPr>
        <w:spacing w:line="276" w:lineRule="auto"/>
        <w:jc w:val="both"/>
        <w:rPr>
          <w:b/>
          <w:sz w:val="22"/>
          <w:szCs w:val="22"/>
        </w:rPr>
      </w:pPr>
      <w:bookmarkStart w:id="57" w:name="_1ci93xb"/>
      <w:bookmarkEnd w:id="57"/>
    </w:p>
    <w:p w14:paraId="2C84FCD2" w14:textId="7C7DBBDD" w:rsidR="00160910" w:rsidRPr="005402C9" w:rsidRDefault="00BF335E" w:rsidP="0013489D">
      <w:pPr>
        <w:pStyle w:val="Heading1"/>
        <w:spacing w:before="0" w:after="0" w:line="276" w:lineRule="auto"/>
        <w:ind w:left="72" w:firstLine="0"/>
        <w:jc w:val="both"/>
        <w:rPr>
          <w:color w:val="7030A0"/>
          <w:sz w:val="22"/>
          <w:szCs w:val="22"/>
        </w:rPr>
      </w:pPr>
      <w:bookmarkStart w:id="58" w:name="_Toc150159465"/>
      <w:r w:rsidRPr="005402C9">
        <w:rPr>
          <w:color w:val="7030A0"/>
          <w:sz w:val="22"/>
          <w:szCs w:val="22"/>
        </w:rPr>
        <w:t xml:space="preserve">6. </w:t>
      </w:r>
      <w:bookmarkStart w:id="59" w:name="_Toc149913298"/>
      <w:bookmarkStart w:id="60" w:name="_Toc149913565"/>
      <w:bookmarkEnd w:id="59"/>
      <w:bookmarkEnd w:id="60"/>
      <w:r w:rsidR="00160910" w:rsidRPr="005402C9">
        <w:rPr>
          <w:color w:val="7030A0"/>
          <w:sz w:val="22"/>
          <w:szCs w:val="22"/>
        </w:rPr>
        <w:t>EVALUAREA ȘI SELECȚIA PROIECTELOR</w:t>
      </w:r>
      <w:bookmarkEnd w:id="58"/>
    </w:p>
    <w:p w14:paraId="4F18AA3C" w14:textId="77777777" w:rsidR="00160910" w:rsidRPr="005402C9" w:rsidRDefault="00160910" w:rsidP="0013489D">
      <w:pPr>
        <w:spacing w:after="0"/>
        <w:rPr>
          <w:sz w:val="22"/>
          <w:szCs w:val="22"/>
        </w:rPr>
      </w:pPr>
    </w:p>
    <w:p w14:paraId="5AF0AED4" w14:textId="3CF945D7" w:rsidR="0064192F" w:rsidRPr="005402C9" w:rsidRDefault="0064192F" w:rsidP="0013489D">
      <w:pPr>
        <w:spacing w:before="0" w:line="276" w:lineRule="auto"/>
        <w:jc w:val="both"/>
        <w:rPr>
          <w:sz w:val="22"/>
          <w:szCs w:val="22"/>
        </w:rPr>
      </w:pPr>
      <w:r w:rsidRPr="005402C9">
        <w:rPr>
          <w:sz w:val="22"/>
          <w:szCs w:val="22"/>
        </w:rPr>
        <w:lastRenderedPageBreak/>
        <w:t>Ulterior depunerii, cererile de finanțare vor intra într-un sistem de evaluare şi contractare, cu condiţia întrunirii criteriilor de conformitate administrativă și eligibilitate, respectiv încadrării în valoarea alocată.</w:t>
      </w:r>
    </w:p>
    <w:p w14:paraId="5E6FDA66" w14:textId="77777777" w:rsidR="0064192F" w:rsidRPr="005402C9" w:rsidRDefault="0064192F" w:rsidP="0064192F">
      <w:pPr>
        <w:spacing w:before="240" w:line="276" w:lineRule="auto"/>
        <w:jc w:val="both"/>
        <w:rPr>
          <w:sz w:val="22"/>
          <w:szCs w:val="22"/>
        </w:rPr>
      </w:pPr>
      <w:r w:rsidRPr="005402C9">
        <w:rPr>
          <w:sz w:val="22"/>
          <w:szCs w:val="22"/>
        </w:rPr>
        <w:t>Procesul de evaluare și selecție constă în parcurgerea următoarelor etape:</w:t>
      </w:r>
    </w:p>
    <w:p w14:paraId="041A5DAA" w14:textId="50BF44C4" w:rsidR="0064192F" w:rsidRPr="005402C9" w:rsidRDefault="0064192F">
      <w:pPr>
        <w:pStyle w:val="ListParagraph"/>
        <w:numPr>
          <w:ilvl w:val="0"/>
          <w:numId w:val="18"/>
        </w:numPr>
        <w:spacing w:line="276" w:lineRule="auto"/>
        <w:jc w:val="both"/>
        <w:rPr>
          <w:rFonts w:ascii="Trebuchet MS" w:hAnsi="Trebuchet MS"/>
          <w:lang w:val="ro-RO"/>
        </w:rPr>
      </w:pPr>
      <w:r w:rsidRPr="005402C9">
        <w:rPr>
          <w:rFonts w:ascii="Trebuchet MS" w:hAnsi="Trebuchet MS"/>
          <w:lang w:val="ro-RO"/>
        </w:rPr>
        <w:t>etapa de verificare a conformității administrative</w:t>
      </w:r>
      <w:r w:rsidR="006C2C13">
        <w:rPr>
          <w:rFonts w:ascii="Trebuchet MS" w:hAnsi="Trebuchet MS"/>
          <w:lang w:val="ro-RO"/>
        </w:rPr>
        <w:t xml:space="preserve">, </w:t>
      </w:r>
      <w:r w:rsidRPr="005402C9">
        <w:rPr>
          <w:rFonts w:ascii="Trebuchet MS" w:hAnsi="Trebuchet MS"/>
          <w:lang w:val="ro-RO"/>
        </w:rPr>
        <w:t xml:space="preserve">a eligibilității solicitantului și a </w:t>
      </w:r>
      <w:r w:rsidR="006C2C13">
        <w:rPr>
          <w:rFonts w:ascii="Trebuchet MS" w:hAnsi="Trebuchet MS"/>
          <w:lang w:val="ro-RO"/>
        </w:rPr>
        <w:t xml:space="preserve">activităților </w:t>
      </w:r>
      <w:r w:rsidRPr="005402C9">
        <w:rPr>
          <w:rFonts w:ascii="Trebuchet MS" w:hAnsi="Trebuchet MS"/>
          <w:lang w:val="ro-RO"/>
        </w:rPr>
        <w:t>proiectului;</w:t>
      </w:r>
    </w:p>
    <w:p w14:paraId="3537AAE2" w14:textId="6F70141F" w:rsidR="0064192F" w:rsidRPr="005402C9" w:rsidRDefault="0064192F">
      <w:pPr>
        <w:pStyle w:val="ListParagraph"/>
        <w:numPr>
          <w:ilvl w:val="0"/>
          <w:numId w:val="18"/>
        </w:numPr>
        <w:spacing w:line="276" w:lineRule="auto"/>
        <w:jc w:val="both"/>
        <w:rPr>
          <w:rFonts w:ascii="Trebuchet MS" w:hAnsi="Trebuchet MS"/>
          <w:lang w:val="ro-RO"/>
        </w:rPr>
      </w:pPr>
      <w:r w:rsidRPr="005402C9">
        <w:rPr>
          <w:rFonts w:ascii="Trebuchet MS" w:hAnsi="Trebuchet MS"/>
          <w:lang w:val="ro-RO"/>
        </w:rPr>
        <w:t xml:space="preserve">etapa de selecție a propunerilor de proiect care vor beneficia de </w:t>
      </w:r>
      <w:r w:rsidR="00597B9F" w:rsidRPr="005402C9">
        <w:rPr>
          <w:rFonts w:ascii="Trebuchet MS" w:hAnsi="Trebuchet MS"/>
          <w:lang w:val="ro-RO"/>
        </w:rPr>
        <w:t>asistență</w:t>
      </w:r>
      <w:r w:rsidRPr="005402C9">
        <w:rPr>
          <w:rFonts w:ascii="Trebuchet MS" w:hAnsi="Trebuchet MS"/>
          <w:lang w:val="ro-RO"/>
        </w:rPr>
        <w:t xml:space="preserve"> financiar</w:t>
      </w:r>
      <w:r w:rsidR="00597B9F" w:rsidRPr="005402C9">
        <w:rPr>
          <w:rFonts w:ascii="Trebuchet MS" w:hAnsi="Trebuchet MS"/>
          <w:lang w:val="ro-RO"/>
        </w:rPr>
        <w:t>ă</w:t>
      </w:r>
      <w:r w:rsidRPr="005402C9">
        <w:rPr>
          <w:rFonts w:ascii="Trebuchet MS" w:hAnsi="Trebuchet MS"/>
          <w:lang w:val="ro-RO"/>
        </w:rPr>
        <w:t xml:space="preserve"> nerambursabil</w:t>
      </w:r>
      <w:r w:rsidR="00C3251F">
        <w:rPr>
          <w:rFonts w:ascii="Trebuchet MS" w:hAnsi="Trebuchet MS"/>
          <w:lang w:val="ro-RO"/>
        </w:rPr>
        <w:t>ă</w:t>
      </w:r>
      <w:r w:rsidRPr="005402C9">
        <w:rPr>
          <w:rFonts w:ascii="Trebuchet MS" w:hAnsi="Trebuchet MS"/>
          <w:lang w:val="ro-RO"/>
        </w:rPr>
        <w:t>, în conformitate cu procedura de evaluare și selecție.</w:t>
      </w:r>
    </w:p>
    <w:p w14:paraId="33A373CD" w14:textId="6549E45D" w:rsidR="0064192F" w:rsidRPr="005402C9" w:rsidRDefault="0064192F" w:rsidP="0013489D">
      <w:pPr>
        <w:pStyle w:val="Heading2"/>
        <w:rPr>
          <w:sz w:val="22"/>
          <w:szCs w:val="22"/>
        </w:rPr>
      </w:pPr>
      <w:bookmarkStart w:id="61" w:name="_Toc150159466"/>
      <w:r w:rsidRPr="005402C9">
        <w:rPr>
          <w:sz w:val="22"/>
          <w:szCs w:val="22"/>
        </w:rPr>
        <w:t>6.1. Etapa de verificare a conformității administrative</w:t>
      </w:r>
      <w:r w:rsidR="006C2C13">
        <w:rPr>
          <w:sz w:val="22"/>
          <w:szCs w:val="22"/>
        </w:rPr>
        <w:t>,</w:t>
      </w:r>
      <w:r w:rsidRPr="005402C9">
        <w:rPr>
          <w:sz w:val="22"/>
          <w:szCs w:val="22"/>
        </w:rPr>
        <w:t xml:space="preserve"> a eligibilității </w:t>
      </w:r>
      <w:r w:rsidR="006C2C13">
        <w:rPr>
          <w:sz w:val="22"/>
          <w:szCs w:val="22"/>
        </w:rPr>
        <w:t xml:space="preserve">solicitantului și a activităților proiectului </w:t>
      </w:r>
      <w:r w:rsidRPr="005402C9">
        <w:rPr>
          <w:sz w:val="22"/>
          <w:szCs w:val="22"/>
        </w:rPr>
        <w:t>(CAE)</w:t>
      </w:r>
      <w:bookmarkEnd w:id="61"/>
    </w:p>
    <w:p w14:paraId="209E45D5" w14:textId="77777777" w:rsidR="0064192F" w:rsidRPr="005402C9" w:rsidRDefault="0064192F" w:rsidP="0064192F">
      <w:pPr>
        <w:spacing w:before="240" w:line="276" w:lineRule="auto"/>
        <w:jc w:val="both"/>
        <w:rPr>
          <w:sz w:val="22"/>
          <w:szCs w:val="22"/>
        </w:rPr>
      </w:pPr>
      <w:r w:rsidRPr="005402C9">
        <w:rPr>
          <w:sz w:val="22"/>
          <w:szCs w:val="22"/>
        </w:rPr>
        <w:t xml:space="preserve">După depunerea cererii de finanţare, se va analiza și verifica respectarea criteriilor de conformitate administrativă și de eligibilitate. </w:t>
      </w:r>
    </w:p>
    <w:p w14:paraId="72E9C55B" w14:textId="30FADDC8" w:rsidR="0064192F" w:rsidRPr="005402C9" w:rsidRDefault="0064192F" w:rsidP="0064192F">
      <w:pPr>
        <w:spacing w:before="240" w:line="276" w:lineRule="auto"/>
        <w:jc w:val="both"/>
        <w:rPr>
          <w:sz w:val="22"/>
          <w:szCs w:val="22"/>
        </w:rPr>
      </w:pPr>
      <w:r w:rsidRPr="005402C9">
        <w:rPr>
          <w:sz w:val="22"/>
          <w:szCs w:val="22"/>
        </w:rPr>
        <w:t>Verificarea conformităţii administrative şi a eligibilităţii va urmări în principal, existenţa informațiilor în secţiunile din cererea de finanţare şi a anexelor, valabilitatea documentelor, precum și respectarea criteriilor de eligibilitate</w:t>
      </w:r>
      <w:r w:rsidR="0082172A" w:rsidRPr="005402C9">
        <w:rPr>
          <w:sz w:val="22"/>
          <w:szCs w:val="22"/>
        </w:rPr>
        <w:t xml:space="preserve"> a solicita</w:t>
      </w:r>
      <w:r w:rsidR="00A71D81" w:rsidRPr="005402C9">
        <w:rPr>
          <w:sz w:val="22"/>
          <w:szCs w:val="22"/>
        </w:rPr>
        <w:t>ntului și proiectului</w:t>
      </w:r>
      <w:r w:rsidRPr="005402C9">
        <w:rPr>
          <w:sz w:val="22"/>
          <w:szCs w:val="22"/>
        </w:rPr>
        <w:t>, care sunt obligatoriu de îndeplinit în această etapă.</w:t>
      </w:r>
    </w:p>
    <w:p w14:paraId="327A0585" w14:textId="257BA5A8" w:rsidR="0064192F" w:rsidRPr="005402C9" w:rsidRDefault="0064192F" w:rsidP="0064192F">
      <w:pPr>
        <w:spacing w:before="240" w:line="276" w:lineRule="auto"/>
        <w:jc w:val="both"/>
        <w:rPr>
          <w:sz w:val="22"/>
          <w:szCs w:val="22"/>
        </w:rPr>
      </w:pPr>
      <w:r w:rsidRPr="005402C9">
        <w:rPr>
          <w:sz w:val="22"/>
          <w:szCs w:val="22"/>
        </w:rPr>
        <w:t>Pentru verificarea conformității administrative și a eligibilității solicitantului și a propunerii de proiect</w:t>
      </w:r>
      <w:r w:rsidR="00B53A13">
        <w:rPr>
          <w:sz w:val="22"/>
          <w:szCs w:val="22"/>
        </w:rPr>
        <w:t>,</w:t>
      </w:r>
      <w:r w:rsidRPr="005402C9">
        <w:rPr>
          <w:sz w:val="22"/>
          <w:szCs w:val="22"/>
        </w:rPr>
        <w:t xml:space="preserve"> este necesară îndeplinirea următoarelor condiții:</w:t>
      </w:r>
    </w:p>
    <w:p w14:paraId="0E328CF2" w14:textId="2FFD6A4A" w:rsidR="0064192F" w:rsidRPr="005402C9" w:rsidRDefault="0064192F">
      <w:pPr>
        <w:pStyle w:val="ListParagraph"/>
        <w:numPr>
          <w:ilvl w:val="0"/>
          <w:numId w:val="16"/>
        </w:numPr>
        <w:spacing w:before="240" w:line="276" w:lineRule="auto"/>
        <w:jc w:val="both"/>
        <w:rPr>
          <w:rFonts w:ascii="Trebuchet MS" w:hAnsi="Trebuchet MS"/>
          <w:lang w:val="ro-RO"/>
        </w:rPr>
      </w:pPr>
      <w:r w:rsidRPr="005402C9">
        <w:rPr>
          <w:rFonts w:ascii="Trebuchet MS" w:hAnsi="Trebuchet MS"/>
          <w:lang w:val="ro-RO"/>
        </w:rPr>
        <w:t xml:space="preserve">cererea de finanțare împreună cu toate documentele însoțitoare au fost încărcate electronic, în cadrul platformei informatice </w:t>
      </w:r>
      <w:hyperlink r:id="rId12" w:history="1">
        <w:r w:rsidR="0016438E" w:rsidRPr="005402C9">
          <w:rPr>
            <w:rStyle w:val="Hyperlink"/>
            <w:rFonts w:ascii="Trebuchet MS" w:hAnsi="Trebuchet MS"/>
            <w:lang w:val="ro-RO"/>
          </w:rPr>
          <w:t>http://proiecte.pnrr.gov.ro</w:t>
        </w:r>
      </w:hyperlink>
      <w:r w:rsidRPr="005402C9">
        <w:rPr>
          <w:rFonts w:ascii="Trebuchet MS" w:hAnsi="Trebuchet MS"/>
          <w:lang w:val="ro-RO"/>
        </w:rPr>
        <w:t>, până la termenul limită de depunere precizat în apelul de proiecte;</w:t>
      </w:r>
    </w:p>
    <w:p w14:paraId="4455DA49" w14:textId="37754CC7" w:rsidR="0064192F" w:rsidRPr="005402C9" w:rsidRDefault="0064192F">
      <w:pPr>
        <w:pStyle w:val="ListParagraph"/>
        <w:numPr>
          <w:ilvl w:val="0"/>
          <w:numId w:val="16"/>
        </w:numPr>
        <w:spacing w:before="240" w:line="276" w:lineRule="auto"/>
        <w:jc w:val="both"/>
        <w:rPr>
          <w:rFonts w:ascii="Trebuchet MS" w:hAnsi="Trebuchet MS"/>
          <w:lang w:val="ro-RO"/>
        </w:rPr>
      </w:pPr>
      <w:r w:rsidRPr="005402C9">
        <w:rPr>
          <w:rFonts w:ascii="Trebuchet MS" w:hAnsi="Trebuchet MS"/>
          <w:lang w:val="ro-RO"/>
        </w:rPr>
        <w:t>cererea de finanțare are completate toate câmpurile (unde nu există informații sau nu se aplică se scrie „nu este cazul” sau „-”);</w:t>
      </w:r>
    </w:p>
    <w:p w14:paraId="2CA3E91A" w14:textId="01688624" w:rsidR="0064192F" w:rsidRPr="005402C9" w:rsidRDefault="0064192F">
      <w:pPr>
        <w:pStyle w:val="ListParagraph"/>
        <w:numPr>
          <w:ilvl w:val="0"/>
          <w:numId w:val="16"/>
        </w:numPr>
        <w:spacing w:before="240" w:line="276" w:lineRule="auto"/>
        <w:jc w:val="both"/>
        <w:rPr>
          <w:rFonts w:ascii="Trebuchet MS" w:hAnsi="Trebuchet MS"/>
          <w:lang w:val="ro-RO"/>
        </w:rPr>
      </w:pPr>
      <w:r w:rsidRPr="005402C9">
        <w:rPr>
          <w:rFonts w:ascii="Trebuchet MS" w:hAnsi="Trebuchet MS"/>
          <w:lang w:val="ro-RO"/>
        </w:rPr>
        <w:t xml:space="preserve">toate documentele însoțitoare solicitate respectă cerințele și modelele din cadrul prezentului </w:t>
      </w:r>
      <w:r w:rsidR="00A71D81" w:rsidRPr="005402C9">
        <w:rPr>
          <w:rFonts w:ascii="Trebuchet MS" w:hAnsi="Trebuchet MS"/>
          <w:lang w:val="ro-RO"/>
        </w:rPr>
        <w:t>g</w:t>
      </w:r>
      <w:r w:rsidRPr="005402C9">
        <w:rPr>
          <w:rFonts w:ascii="Trebuchet MS" w:hAnsi="Trebuchet MS"/>
          <w:lang w:val="ro-RO"/>
        </w:rPr>
        <w:t>hid.</w:t>
      </w:r>
    </w:p>
    <w:p w14:paraId="27326855" w14:textId="77777777" w:rsidR="0064192F" w:rsidRPr="005402C9" w:rsidRDefault="0064192F" w:rsidP="0064192F">
      <w:pPr>
        <w:spacing w:before="240" w:line="276" w:lineRule="auto"/>
        <w:jc w:val="both"/>
        <w:rPr>
          <w:sz w:val="22"/>
          <w:szCs w:val="22"/>
        </w:rPr>
      </w:pPr>
      <w:r w:rsidRPr="005402C9">
        <w:rPr>
          <w:sz w:val="22"/>
          <w:szCs w:val="22"/>
        </w:rPr>
        <w:t>Pentru justificarea elementelor de cost se vor prezenta minim două oferte de preț în baza cărora va fi fundamentat bugetul proiectului. În situația în care elementele de cost nu pot fi identificate prin două oferte de preț existente pe piață, se va transmite o notă justificativă care să fundamenteze costurile respective.</w:t>
      </w:r>
    </w:p>
    <w:p w14:paraId="5AF5CEA1" w14:textId="77777777" w:rsidR="004777FE" w:rsidRPr="005402C9" w:rsidRDefault="00894CD8" w:rsidP="0064192F">
      <w:pPr>
        <w:spacing w:before="240" w:line="276" w:lineRule="auto"/>
        <w:jc w:val="both"/>
        <w:rPr>
          <w:sz w:val="22"/>
          <w:szCs w:val="22"/>
        </w:rPr>
      </w:pPr>
      <w:r w:rsidRPr="005402C9">
        <w:rPr>
          <w:sz w:val="22"/>
          <w:szCs w:val="22"/>
        </w:rPr>
        <w:t>Pentru conformitatea administrativă și de eligibilitate se va analiza respectarea criteriilor de eligibilitate a solicitantului prevăzute la secțiunea 1.2.4 din prezentul ghid prin informațiile cuprinse în cererea de finanțare și în declarațiile</w:t>
      </w:r>
      <w:r w:rsidR="004777FE" w:rsidRPr="005402C9">
        <w:rPr>
          <w:sz w:val="22"/>
          <w:szCs w:val="22"/>
        </w:rPr>
        <w:t xml:space="preserve"> și documentele</w:t>
      </w:r>
      <w:r w:rsidRPr="005402C9">
        <w:rPr>
          <w:sz w:val="22"/>
          <w:szCs w:val="22"/>
        </w:rPr>
        <w:t xml:space="preserve"> anexate. </w:t>
      </w:r>
    </w:p>
    <w:p w14:paraId="2DA4315E" w14:textId="6B7FB61E" w:rsidR="00207C31" w:rsidRPr="005402C9" w:rsidRDefault="004777FE" w:rsidP="0064192F">
      <w:pPr>
        <w:spacing w:before="240" w:line="276" w:lineRule="auto"/>
        <w:jc w:val="both"/>
        <w:rPr>
          <w:sz w:val="22"/>
          <w:szCs w:val="22"/>
        </w:rPr>
      </w:pPr>
      <w:r w:rsidRPr="005402C9">
        <w:rPr>
          <w:sz w:val="22"/>
          <w:szCs w:val="22"/>
        </w:rPr>
        <w:t>Pentru asigurarea</w:t>
      </w:r>
      <w:r w:rsidR="006023C9" w:rsidRPr="005402C9">
        <w:rPr>
          <w:sz w:val="22"/>
          <w:szCs w:val="22"/>
        </w:rPr>
        <w:t xml:space="preserve"> respect</w:t>
      </w:r>
      <w:r w:rsidRPr="005402C9">
        <w:rPr>
          <w:sz w:val="22"/>
          <w:szCs w:val="22"/>
        </w:rPr>
        <w:t>ării</w:t>
      </w:r>
      <w:r w:rsidR="006023C9" w:rsidRPr="005402C9">
        <w:rPr>
          <w:sz w:val="22"/>
          <w:szCs w:val="22"/>
        </w:rPr>
        <w:t xml:space="preserve"> </w:t>
      </w:r>
      <w:r w:rsidR="00207C31" w:rsidRPr="005402C9">
        <w:rPr>
          <w:sz w:val="22"/>
          <w:szCs w:val="22"/>
        </w:rPr>
        <w:t xml:space="preserve">(i) </w:t>
      </w:r>
      <w:r w:rsidR="006023C9" w:rsidRPr="005402C9">
        <w:rPr>
          <w:sz w:val="22"/>
          <w:szCs w:val="22"/>
        </w:rPr>
        <w:t>obligaţiilor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w:t>
      </w:r>
      <w:r w:rsidRPr="005402C9">
        <w:rPr>
          <w:sz w:val="22"/>
          <w:szCs w:val="22"/>
        </w:rPr>
        <w:t xml:space="preserve">, precum și </w:t>
      </w:r>
      <w:r w:rsidR="00207C31" w:rsidRPr="005402C9">
        <w:rPr>
          <w:sz w:val="22"/>
          <w:szCs w:val="22"/>
        </w:rPr>
        <w:t>(ii) prevederilor legislaţiei naţionale şi europene aplicabile în domeniul egalităţii de şanse, de gen, nediscriminare, accesibilitate, se vor verifica informațiile din cererea de finanțare și Declarația de angajament (Model A)</w:t>
      </w:r>
      <w:r w:rsidR="009F679F" w:rsidRPr="005402C9">
        <w:rPr>
          <w:sz w:val="22"/>
          <w:szCs w:val="22"/>
        </w:rPr>
        <w:t xml:space="preserve"> anexată acesteia</w:t>
      </w:r>
      <w:r w:rsidR="00207C31" w:rsidRPr="005402C9">
        <w:rPr>
          <w:sz w:val="22"/>
          <w:szCs w:val="22"/>
        </w:rPr>
        <w:t>.</w:t>
      </w:r>
    </w:p>
    <w:p w14:paraId="691C9E60" w14:textId="354D3DF4" w:rsidR="005E48AA" w:rsidRPr="005402C9" w:rsidRDefault="005E48AA" w:rsidP="005E48AA">
      <w:pPr>
        <w:spacing w:before="240" w:line="276" w:lineRule="auto"/>
        <w:jc w:val="both"/>
        <w:rPr>
          <w:sz w:val="22"/>
          <w:szCs w:val="22"/>
        </w:rPr>
      </w:pPr>
      <w:r w:rsidRPr="005402C9">
        <w:rPr>
          <w:sz w:val="22"/>
          <w:szCs w:val="22"/>
        </w:rPr>
        <w:t>Evitarea situației unui conflict de interese, a fraudei, corupției și dublei finanțări a activităților propuse prin proiect cu cele realizate prin alte programe cu surse publice de finanțare</w:t>
      </w:r>
      <w:r w:rsidR="00862AAB" w:rsidRPr="005402C9">
        <w:rPr>
          <w:sz w:val="22"/>
          <w:szCs w:val="22"/>
        </w:rPr>
        <w:t xml:space="preserve"> se verifică </w:t>
      </w:r>
      <w:r w:rsidR="00862AAB" w:rsidRPr="005402C9">
        <w:rPr>
          <w:sz w:val="22"/>
          <w:szCs w:val="22"/>
        </w:rPr>
        <w:lastRenderedPageBreak/>
        <w:t xml:space="preserve">la momentul evaluării proiectului </w:t>
      </w:r>
      <w:r w:rsidR="00C76FA2" w:rsidRPr="005402C9">
        <w:rPr>
          <w:sz w:val="22"/>
          <w:szCs w:val="22"/>
        </w:rPr>
        <w:t xml:space="preserve">prin </w:t>
      </w:r>
      <w:r w:rsidR="00862AAB" w:rsidRPr="005402C9">
        <w:rPr>
          <w:sz w:val="22"/>
          <w:szCs w:val="22"/>
        </w:rPr>
        <w:t>corelarea informațiilor completate în cererea de finanțare și în documentele anexate</w:t>
      </w:r>
      <w:r w:rsidR="00C76FA2" w:rsidRPr="005402C9">
        <w:rPr>
          <w:sz w:val="22"/>
          <w:szCs w:val="22"/>
        </w:rPr>
        <w:t xml:space="preserve">, implicit prin existența </w:t>
      </w:r>
      <w:r w:rsidR="00862AAB" w:rsidRPr="005402C9">
        <w:rPr>
          <w:sz w:val="22"/>
          <w:szCs w:val="22"/>
        </w:rPr>
        <w:t>Declarați</w:t>
      </w:r>
      <w:r w:rsidR="00C76FA2" w:rsidRPr="005402C9">
        <w:rPr>
          <w:sz w:val="22"/>
          <w:szCs w:val="22"/>
        </w:rPr>
        <w:t>ei</w:t>
      </w:r>
      <w:r w:rsidR="00862AAB" w:rsidRPr="005402C9">
        <w:rPr>
          <w:sz w:val="22"/>
          <w:szCs w:val="22"/>
        </w:rPr>
        <w:t xml:space="preserve"> privind evirarea conflictelor de interese, a fraudei, corupției și a dublei finanțări (Model E)</w:t>
      </w:r>
      <w:r w:rsidR="00C76FA2" w:rsidRPr="005402C9">
        <w:rPr>
          <w:sz w:val="22"/>
          <w:szCs w:val="22"/>
        </w:rPr>
        <w:t>. Î</w:t>
      </w:r>
      <w:r w:rsidRPr="005402C9">
        <w:rPr>
          <w:sz w:val="22"/>
          <w:szCs w:val="22"/>
        </w:rPr>
        <w:t>n cazul identificării unei situaţii de dublă finanţare, Ministerul Investițiilor și Proiectelor Europene poate emite decizii de reziliere a contractelor de finanţare, cu recuperarea sumelor acordate necuvenit.</w:t>
      </w:r>
    </w:p>
    <w:p w14:paraId="53D94F35" w14:textId="1D7A9769" w:rsidR="0064192F" w:rsidRPr="005402C9" w:rsidRDefault="0064192F" w:rsidP="0064192F">
      <w:pPr>
        <w:spacing w:before="240" w:line="276" w:lineRule="auto"/>
        <w:jc w:val="both"/>
        <w:rPr>
          <w:sz w:val="22"/>
          <w:szCs w:val="22"/>
        </w:rPr>
      </w:pPr>
      <w:r w:rsidRPr="005402C9">
        <w:rPr>
          <w:sz w:val="22"/>
          <w:szCs w:val="22"/>
        </w:rPr>
        <w:t>Pentru a fi admisă, propunerea trebuie să obțină răspuns pozitiv („Da”) la toate întrebările din cadrul grilei de verificare administrativă și a eligibilității. În caz contrar, propunerea este respinsă.</w:t>
      </w:r>
    </w:p>
    <w:p w14:paraId="52C08549" w14:textId="3AF4DBFE" w:rsidR="0064192F" w:rsidRPr="005402C9" w:rsidRDefault="0064192F" w:rsidP="0064192F">
      <w:pPr>
        <w:spacing w:before="240" w:line="276" w:lineRule="auto"/>
        <w:jc w:val="both"/>
        <w:rPr>
          <w:sz w:val="22"/>
          <w:szCs w:val="22"/>
        </w:rPr>
      </w:pPr>
      <w:r w:rsidRPr="005402C9">
        <w:rPr>
          <w:sz w:val="22"/>
          <w:szCs w:val="22"/>
        </w:rPr>
        <w:t>În cazul în care, în urma verificării documentelor transmise de către solicitanți, există necorelări în cadrul cererii de finanțare și/sau între cererea de finanțare și documentele suport</w:t>
      </w:r>
      <w:r w:rsidRPr="00E453EA">
        <w:rPr>
          <w:sz w:val="22"/>
          <w:szCs w:val="22"/>
        </w:rPr>
        <w:t xml:space="preserve">, </w:t>
      </w:r>
      <w:r w:rsidR="0092333F" w:rsidRPr="00E453EA">
        <w:rPr>
          <w:sz w:val="22"/>
          <w:szCs w:val="22"/>
        </w:rPr>
        <w:t xml:space="preserve">MIPE </w:t>
      </w:r>
      <w:r w:rsidRPr="005402C9">
        <w:rPr>
          <w:sz w:val="22"/>
          <w:szCs w:val="22"/>
        </w:rPr>
        <w:t>po</w:t>
      </w:r>
      <w:r w:rsidR="00C3251F">
        <w:rPr>
          <w:sz w:val="22"/>
          <w:szCs w:val="22"/>
        </w:rPr>
        <w:t>a</w:t>
      </w:r>
      <w:r w:rsidRPr="005402C9">
        <w:rPr>
          <w:sz w:val="22"/>
          <w:szCs w:val="22"/>
        </w:rPr>
        <w:t>t</w:t>
      </w:r>
      <w:r w:rsidR="00C3251F">
        <w:rPr>
          <w:sz w:val="22"/>
          <w:szCs w:val="22"/>
        </w:rPr>
        <w:t>e</w:t>
      </w:r>
      <w:r w:rsidRPr="005402C9">
        <w:rPr>
          <w:sz w:val="22"/>
          <w:szCs w:val="22"/>
        </w:rPr>
        <w:t xml:space="preserve"> solicita două clarificări în vederea corelării și corectării informațiilor transmise prin documentele transmise prin platforma </w:t>
      </w:r>
      <w:hyperlink r:id="rId13" w:history="1">
        <w:r w:rsidR="00A71D81" w:rsidRPr="005402C9">
          <w:rPr>
            <w:rStyle w:val="Hyperlink"/>
            <w:sz w:val="22"/>
            <w:szCs w:val="22"/>
          </w:rPr>
          <w:t>http://proiecte.pnrr.gov.ro</w:t>
        </w:r>
      </w:hyperlink>
      <w:r w:rsidRPr="005402C9">
        <w:rPr>
          <w:sz w:val="22"/>
          <w:szCs w:val="22"/>
        </w:rPr>
        <w:t xml:space="preserve">. </w:t>
      </w:r>
    </w:p>
    <w:p w14:paraId="3EC623FA" w14:textId="2BA95D19" w:rsidR="0064192F" w:rsidRPr="005402C9" w:rsidRDefault="0064192F" w:rsidP="0064192F">
      <w:pPr>
        <w:spacing w:before="240" w:line="276" w:lineRule="auto"/>
        <w:jc w:val="both"/>
        <w:rPr>
          <w:sz w:val="22"/>
          <w:szCs w:val="22"/>
        </w:rPr>
      </w:pPr>
      <w:r w:rsidRPr="005402C9">
        <w:rPr>
          <w:sz w:val="22"/>
          <w:szCs w:val="22"/>
        </w:rPr>
        <w:t>Pot fi depuse inclusiv documente care au fost emise/semnate electronic ulterior depunerii cererii de finanțare.</w:t>
      </w:r>
      <w:r w:rsidR="00A274C0" w:rsidRPr="005402C9">
        <w:rPr>
          <w:sz w:val="22"/>
          <w:szCs w:val="22"/>
        </w:rPr>
        <w:t xml:space="preserve"> Dacă la depunere, cererea de finanțare este semnată de reprezentantul legal al solicitantului, iar pe parcursul procesului de verificare se împuternicește o persoană pentru semnarea electronică extinsă a răspunsurilor la solicitările de clarificări, acest document se poate prezenta odată cu răspunsul la respectiva solicitare de clarificări.</w:t>
      </w:r>
    </w:p>
    <w:p w14:paraId="525EFB38" w14:textId="77777777" w:rsidR="0064192F" w:rsidRPr="005402C9" w:rsidRDefault="0064192F" w:rsidP="0064192F">
      <w:pPr>
        <w:spacing w:before="240" w:line="276" w:lineRule="auto"/>
        <w:jc w:val="both"/>
        <w:rPr>
          <w:sz w:val="22"/>
          <w:szCs w:val="22"/>
        </w:rPr>
      </w:pPr>
      <w:r w:rsidRPr="005402C9">
        <w:rPr>
          <w:sz w:val="22"/>
          <w:szCs w:val="22"/>
        </w:rPr>
        <w:t>După finalizarea etapei de verificare a conformității administrative și a eligibilității, solicitantul va fi notificat asupra rezultatului verificării.</w:t>
      </w:r>
    </w:p>
    <w:p w14:paraId="20D88589" w14:textId="37BCEE5A" w:rsidR="0064192F" w:rsidRPr="005402C9" w:rsidRDefault="0064192F" w:rsidP="0064192F">
      <w:pPr>
        <w:spacing w:before="240" w:line="276" w:lineRule="auto"/>
        <w:jc w:val="both"/>
        <w:rPr>
          <w:sz w:val="22"/>
          <w:szCs w:val="22"/>
        </w:rPr>
      </w:pPr>
      <w:r w:rsidRPr="005402C9">
        <w:rPr>
          <w:sz w:val="22"/>
          <w:szCs w:val="22"/>
        </w:rPr>
        <w:t xml:space="preserve">Grila de verificare a conformității administrative, a eligibilității solicitantului și a eligibilității proiectului se regăsește în </w:t>
      </w:r>
      <w:r w:rsidR="00020233" w:rsidRPr="00020233">
        <w:rPr>
          <w:sz w:val="22"/>
          <w:szCs w:val="22"/>
        </w:rPr>
        <w:t>Anexa 3</w:t>
      </w:r>
      <w:r w:rsidR="00020233" w:rsidRPr="005402C9">
        <w:rPr>
          <w:sz w:val="22"/>
          <w:szCs w:val="22"/>
        </w:rPr>
        <w:t xml:space="preserve"> </w:t>
      </w:r>
      <w:r w:rsidRPr="005402C9">
        <w:rPr>
          <w:sz w:val="22"/>
          <w:szCs w:val="22"/>
        </w:rPr>
        <w:t>la prezentul ghid.</w:t>
      </w:r>
    </w:p>
    <w:p w14:paraId="02DFC3A5" w14:textId="00B9D6A8" w:rsidR="009F679F" w:rsidRPr="005402C9" w:rsidRDefault="006C2C13" w:rsidP="0064192F">
      <w:pPr>
        <w:spacing w:before="240" w:line="276" w:lineRule="auto"/>
        <w:jc w:val="both"/>
        <w:rPr>
          <w:sz w:val="22"/>
          <w:szCs w:val="22"/>
        </w:rPr>
      </w:pPr>
      <w:r>
        <w:rPr>
          <w:sz w:val="22"/>
          <w:szCs w:val="22"/>
        </w:rPr>
        <w:t>Verificarea</w:t>
      </w:r>
      <w:r w:rsidR="0016438E" w:rsidRPr="005402C9">
        <w:rPr>
          <w:sz w:val="22"/>
          <w:szCs w:val="22"/>
        </w:rPr>
        <w:t xml:space="preserve"> </w:t>
      </w:r>
      <w:r>
        <w:rPr>
          <w:sz w:val="22"/>
          <w:szCs w:val="22"/>
        </w:rPr>
        <w:t xml:space="preserve">eligibilității activităților proiectului </w:t>
      </w:r>
      <w:r w:rsidR="0016438E" w:rsidRPr="005402C9">
        <w:rPr>
          <w:sz w:val="22"/>
          <w:szCs w:val="22"/>
        </w:rPr>
        <w:t xml:space="preserve"> va urmări </w:t>
      </w:r>
      <w:r w:rsidR="006023C9" w:rsidRPr="005402C9">
        <w:rPr>
          <w:sz w:val="22"/>
          <w:szCs w:val="22"/>
        </w:rPr>
        <w:t xml:space="preserve">evidențierea </w:t>
      </w:r>
      <w:r w:rsidR="00A51681" w:rsidRPr="005402C9">
        <w:rPr>
          <w:sz w:val="22"/>
          <w:szCs w:val="22"/>
        </w:rPr>
        <w:t xml:space="preserve">și respectarea </w:t>
      </w:r>
      <w:r w:rsidR="006023C9" w:rsidRPr="005402C9">
        <w:rPr>
          <w:sz w:val="22"/>
          <w:szCs w:val="22"/>
        </w:rPr>
        <w:t>acțiunilor</w:t>
      </w:r>
      <w:r w:rsidR="00055E49" w:rsidRPr="005402C9">
        <w:rPr>
          <w:sz w:val="22"/>
          <w:szCs w:val="22"/>
        </w:rPr>
        <w:t xml:space="preserve"> și</w:t>
      </w:r>
      <w:r w:rsidR="006023C9" w:rsidRPr="005402C9">
        <w:rPr>
          <w:sz w:val="22"/>
          <w:szCs w:val="22"/>
        </w:rPr>
        <w:t xml:space="preserve"> contribuți</w:t>
      </w:r>
      <w:r w:rsidR="00055E49" w:rsidRPr="005402C9">
        <w:rPr>
          <w:sz w:val="22"/>
          <w:szCs w:val="22"/>
        </w:rPr>
        <w:t>ei</w:t>
      </w:r>
      <w:r w:rsidR="006023C9" w:rsidRPr="005402C9">
        <w:rPr>
          <w:sz w:val="22"/>
          <w:szCs w:val="22"/>
        </w:rPr>
        <w:t xml:space="preserve"> la proiectul participantului direct</w:t>
      </w:r>
      <w:r w:rsidR="00055E49" w:rsidRPr="005402C9">
        <w:rPr>
          <w:sz w:val="22"/>
          <w:szCs w:val="22"/>
        </w:rPr>
        <w:t>, potrivit acordului de colaborare efectivă</w:t>
      </w:r>
      <w:r w:rsidR="00A51681" w:rsidRPr="005402C9">
        <w:rPr>
          <w:sz w:val="22"/>
          <w:szCs w:val="22"/>
        </w:rPr>
        <w:t xml:space="preserve"> prezentat ca anexă la cererea de finanțare</w:t>
      </w:r>
      <w:r w:rsidR="009F679F" w:rsidRPr="005402C9">
        <w:rPr>
          <w:sz w:val="22"/>
          <w:szCs w:val="22"/>
        </w:rPr>
        <w:t xml:space="preserve"> și</w:t>
      </w:r>
      <w:r w:rsidR="00A51681" w:rsidRPr="005402C9">
        <w:rPr>
          <w:sz w:val="22"/>
          <w:szCs w:val="22"/>
        </w:rPr>
        <w:t xml:space="preserve"> încadrarea activităților în termenele prevăzute în acordul de colaborare și în termenul maxim de implementare a proiectului</w:t>
      </w:r>
      <w:r w:rsidR="009F679F" w:rsidRPr="005402C9">
        <w:rPr>
          <w:sz w:val="22"/>
          <w:szCs w:val="22"/>
        </w:rPr>
        <w:t>.</w:t>
      </w:r>
    </w:p>
    <w:p w14:paraId="0E0741DF" w14:textId="1C59C8B0" w:rsidR="00A51681" w:rsidRPr="005402C9" w:rsidRDefault="009F679F" w:rsidP="009F679F">
      <w:pPr>
        <w:spacing w:before="0" w:after="0" w:line="276" w:lineRule="auto"/>
        <w:jc w:val="both"/>
        <w:rPr>
          <w:sz w:val="22"/>
          <w:szCs w:val="22"/>
        </w:rPr>
      </w:pPr>
      <w:r w:rsidRPr="005402C9">
        <w:rPr>
          <w:sz w:val="22"/>
          <w:szCs w:val="22"/>
        </w:rPr>
        <w:t xml:space="preserve">Solicitantul se va asigura de încadrarea asistenței financiare nerambursabile în valoarea maximă eligibilă, </w:t>
      </w:r>
      <w:r w:rsidR="0073565E">
        <w:rPr>
          <w:sz w:val="22"/>
          <w:szCs w:val="22"/>
        </w:rPr>
        <w:t>în condițiile</w:t>
      </w:r>
      <w:r w:rsidR="005861F2" w:rsidRPr="005402C9">
        <w:rPr>
          <w:sz w:val="22"/>
          <w:szCs w:val="22"/>
        </w:rPr>
        <w:t xml:space="preserve"> prevăzute la secțiunea 2 din prezentul ghid</w:t>
      </w:r>
      <w:r w:rsidR="0073565E">
        <w:rPr>
          <w:sz w:val="22"/>
          <w:szCs w:val="22"/>
        </w:rPr>
        <w:t>, cu respectarea criteriilor de eligibilitate a cheltuielilor</w:t>
      </w:r>
      <w:r w:rsidR="00A51681" w:rsidRPr="005402C9">
        <w:rPr>
          <w:sz w:val="22"/>
          <w:szCs w:val="22"/>
        </w:rPr>
        <w:t>.</w:t>
      </w:r>
    </w:p>
    <w:p w14:paraId="65288B90" w14:textId="189AC994" w:rsidR="000B168C" w:rsidRPr="005402C9" w:rsidRDefault="000B168C" w:rsidP="000C6AD9">
      <w:pPr>
        <w:spacing w:before="240" w:line="276" w:lineRule="auto"/>
        <w:jc w:val="both"/>
        <w:rPr>
          <w:sz w:val="22"/>
          <w:szCs w:val="22"/>
        </w:rPr>
      </w:pPr>
      <w:r w:rsidRPr="005402C9">
        <w:rPr>
          <w:sz w:val="22"/>
          <w:szCs w:val="22"/>
        </w:rPr>
        <w:t>După finalizarea etapei de verificare a conformității administrative și a eligibilității, solicitantul va fi notificat asupra rezultatului verificării.</w:t>
      </w:r>
    </w:p>
    <w:p w14:paraId="6B565A27" w14:textId="05974E12" w:rsidR="00597B9F" w:rsidRPr="005402C9" w:rsidRDefault="0016438E" w:rsidP="0013489D">
      <w:pPr>
        <w:pStyle w:val="Heading2"/>
        <w:rPr>
          <w:sz w:val="22"/>
          <w:szCs w:val="22"/>
        </w:rPr>
      </w:pPr>
      <w:bookmarkStart w:id="62" w:name="_Toc150159468"/>
      <w:r w:rsidRPr="005402C9">
        <w:rPr>
          <w:sz w:val="22"/>
          <w:szCs w:val="22"/>
        </w:rPr>
        <w:t>6.</w:t>
      </w:r>
      <w:r w:rsidR="000C6AD9">
        <w:rPr>
          <w:sz w:val="22"/>
          <w:szCs w:val="22"/>
        </w:rPr>
        <w:t>2</w:t>
      </w:r>
      <w:r w:rsidRPr="005402C9">
        <w:rPr>
          <w:sz w:val="22"/>
          <w:szCs w:val="22"/>
        </w:rPr>
        <w:t xml:space="preserve">. </w:t>
      </w:r>
      <w:r w:rsidR="0064192F" w:rsidRPr="005402C9">
        <w:rPr>
          <w:sz w:val="22"/>
          <w:szCs w:val="22"/>
        </w:rPr>
        <w:t>Retragerea cererii de finanțare</w:t>
      </w:r>
      <w:bookmarkEnd w:id="62"/>
    </w:p>
    <w:p w14:paraId="7152E76A" w14:textId="0533FFB9" w:rsidR="0064192F" w:rsidRPr="005402C9" w:rsidRDefault="00597B9F" w:rsidP="0064192F">
      <w:pPr>
        <w:spacing w:before="240" w:line="276" w:lineRule="auto"/>
        <w:jc w:val="both"/>
        <w:rPr>
          <w:sz w:val="22"/>
          <w:szCs w:val="22"/>
        </w:rPr>
      </w:pPr>
      <w:r w:rsidRPr="005402C9">
        <w:rPr>
          <w:sz w:val="22"/>
          <w:szCs w:val="22"/>
        </w:rPr>
        <w:t>Retragerea cererii de finanțare</w:t>
      </w:r>
      <w:r w:rsidR="0064192F" w:rsidRPr="005402C9">
        <w:rPr>
          <w:sz w:val="22"/>
          <w:szCs w:val="22"/>
        </w:rPr>
        <w:t xml:space="preserve"> se va face numai de către reprezentantul legal sau de către persoana împuternicită, în baza unei Notificări de retragere a cererii de finanţare.  </w:t>
      </w:r>
    </w:p>
    <w:p w14:paraId="1484C5FF" w14:textId="5C8638A5" w:rsidR="0064192F" w:rsidRPr="005402C9" w:rsidRDefault="0064192F" w:rsidP="0064192F">
      <w:pPr>
        <w:spacing w:before="240" w:line="276" w:lineRule="auto"/>
        <w:jc w:val="both"/>
        <w:rPr>
          <w:sz w:val="22"/>
          <w:szCs w:val="22"/>
        </w:rPr>
      </w:pPr>
      <w:r w:rsidRPr="005402C9">
        <w:rPr>
          <w:sz w:val="22"/>
          <w:szCs w:val="22"/>
        </w:rPr>
        <w:t xml:space="preserve">Modalitatea de retragere (ștergere din platforma </w:t>
      </w:r>
      <w:hyperlink r:id="rId14" w:history="1">
        <w:r w:rsidR="00CB29AE" w:rsidRPr="005402C9">
          <w:rPr>
            <w:rStyle w:val="Hyperlink"/>
            <w:sz w:val="22"/>
            <w:szCs w:val="22"/>
          </w:rPr>
          <w:t>http://proiecte.pnrr.gov.ro</w:t>
        </w:r>
      </w:hyperlink>
      <w:r w:rsidRPr="005402C9">
        <w:rPr>
          <w:sz w:val="22"/>
          <w:szCs w:val="22"/>
        </w:rPr>
        <w:t xml:space="preserve">) a cererii de finanțare se regăsește în „Instrucțiune de utilizare privind Sistemul informatic integrat de management pentru PNRR - Înscrierea beneficiarilor in vederea depunerii de proiecte in cadrul apelurilor”. </w:t>
      </w:r>
    </w:p>
    <w:p w14:paraId="64B9519A" w14:textId="3056BC61" w:rsidR="00597B9F" w:rsidRPr="005402C9" w:rsidRDefault="00CB29AE" w:rsidP="0013489D">
      <w:pPr>
        <w:pStyle w:val="Heading2"/>
        <w:rPr>
          <w:sz w:val="22"/>
          <w:szCs w:val="22"/>
        </w:rPr>
      </w:pPr>
      <w:bookmarkStart w:id="63" w:name="_Toc150159469"/>
      <w:r w:rsidRPr="005402C9">
        <w:rPr>
          <w:sz w:val="22"/>
          <w:szCs w:val="22"/>
        </w:rPr>
        <w:t>6.</w:t>
      </w:r>
      <w:r w:rsidR="000C6AD9">
        <w:rPr>
          <w:sz w:val="22"/>
          <w:szCs w:val="22"/>
        </w:rPr>
        <w:t>3</w:t>
      </w:r>
      <w:r w:rsidR="0064192F" w:rsidRPr="005402C9">
        <w:rPr>
          <w:sz w:val="22"/>
          <w:szCs w:val="22"/>
        </w:rPr>
        <w:t xml:space="preserve">. Etapa de selecție a </w:t>
      </w:r>
      <w:r w:rsidR="008C2FD9" w:rsidRPr="005402C9">
        <w:rPr>
          <w:sz w:val="22"/>
          <w:szCs w:val="22"/>
        </w:rPr>
        <w:t>sub</w:t>
      </w:r>
      <w:r w:rsidR="0064192F" w:rsidRPr="005402C9">
        <w:rPr>
          <w:sz w:val="22"/>
          <w:szCs w:val="22"/>
        </w:rPr>
        <w:t>proiectelor</w:t>
      </w:r>
      <w:bookmarkEnd w:id="63"/>
    </w:p>
    <w:p w14:paraId="286ED409" w14:textId="0A85AFC1" w:rsidR="0064192F" w:rsidRPr="005402C9" w:rsidRDefault="008C2FD9" w:rsidP="0064192F">
      <w:pPr>
        <w:spacing w:before="240" w:line="276" w:lineRule="auto"/>
        <w:jc w:val="both"/>
        <w:rPr>
          <w:sz w:val="22"/>
          <w:szCs w:val="22"/>
        </w:rPr>
      </w:pPr>
      <w:r w:rsidRPr="005402C9">
        <w:rPr>
          <w:sz w:val="22"/>
          <w:szCs w:val="22"/>
        </w:rPr>
        <w:t>Subp</w:t>
      </w:r>
      <w:r w:rsidR="0064192F" w:rsidRPr="005402C9">
        <w:rPr>
          <w:sz w:val="22"/>
          <w:szCs w:val="22"/>
        </w:rPr>
        <w:t xml:space="preserve">roiectele sunt selectate pentru finanțare în baza verificării criteriilor administrative și de eligibilitate. Rezultatele </w:t>
      </w:r>
      <w:r w:rsidR="000B168C" w:rsidRPr="005402C9">
        <w:rPr>
          <w:sz w:val="22"/>
          <w:szCs w:val="22"/>
        </w:rPr>
        <w:t xml:space="preserve">selecției </w:t>
      </w:r>
      <w:r w:rsidR="0064192F" w:rsidRPr="005402C9">
        <w:rPr>
          <w:sz w:val="22"/>
          <w:szCs w:val="22"/>
        </w:rPr>
        <w:t xml:space="preserve">se publică pe pagina oficială a Ministerului Investițiilor și Proiectelor Europene în cadrul secțiunii destinată „Anunțuri PNRR”, respectiv </w:t>
      </w:r>
      <w:hyperlink r:id="rId15" w:history="1">
        <w:r w:rsidR="000B168C" w:rsidRPr="005402C9">
          <w:rPr>
            <w:rStyle w:val="Hyperlink"/>
            <w:sz w:val="22"/>
            <w:szCs w:val="22"/>
          </w:rPr>
          <w:t>https://mfe.gov.ro/category/anunturi-pnrr/</w:t>
        </w:r>
      </w:hyperlink>
      <w:r w:rsidR="000B168C" w:rsidRPr="005402C9">
        <w:rPr>
          <w:sz w:val="22"/>
          <w:szCs w:val="22"/>
        </w:rPr>
        <w:t xml:space="preserve"> </w:t>
      </w:r>
      <w:r w:rsidR="0064192F" w:rsidRPr="005402C9">
        <w:rPr>
          <w:sz w:val="22"/>
          <w:szCs w:val="22"/>
        </w:rPr>
        <w:t xml:space="preserve">și pe pagina oficială a Ministerului Economiei, Antreprenoriatului și Turismului, respectiv </w:t>
      </w:r>
      <w:hyperlink r:id="rId16" w:history="1">
        <w:r w:rsidR="000B168C" w:rsidRPr="005402C9">
          <w:rPr>
            <w:rStyle w:val="Hyperlink"/>
            <w:sz w:val="22"/>
            <w:szCs w:val="22"/>
          </w:rPr>
          <w:t>https://economie.gov.ro</w:t>
        </w:r>
      </w:hyperlink>
      <w:r w:rsidR="0064192F" w:rsidRPr="005402C9">
        <w:rPr>
          <w:sz w:val="22"/>
          <w:szCs w:val="22"/>
        </w:rPr>
        <w:t>.</w:t>
      </w:r>
      <w:r w:rsidR="000B168C" w:rsidRPr="005402C9">
        <w:rPr>
          <w:sz w:val="22"/>
          <w:szCs w:val="22"/>
        </w:rPr>
        <w:t xml:space="preserve"> </w:t>
      </w:r>
    </w:p>
    <w:p w14:paraId="3EC92B45" w14:textId="7D0ED42E" w:rsidR="0064192F" w:rsidRPr="005402C9" w:rsidRDefault="00DE4DD3" w:rsidP="0013489D">
      <w:pPr>
        <w:pStyle w:val="Heading2"/>
        <w:rPr>
          <w:sz w:val="22"/>
          <w:szCs w:val="22"/>
        </w:rPr>
      </w:pPr>
      <w:bookmarkStart w:id="64" w:name="_Toc150159470"/>
      <w:r w:rsidRPr="005402C9">
        <w:rPr>
          <w:sz w:val="22"/>
          <w:szCs w:val="22"/>
        </w:rPr>
        <w:t>6.</w:t>
      </w:r>
      <w:r w:rsidR="000C6AD9">
        <w:rPr>
          <w:sz w:val="22"/>
          <w:szCs w:val="22"/>
        </w:rPr>
        <w:t>4</w:t>
      </w:r>
      <w:r w:rsidR="0064192F" w:rsidRPr="005402C9">
        <w:rPr>
          <w:sz w:val="22"/>
          <w:szCs w:val="22"/>
        </w:rPr>
        <w:t>. Depunerea și soluționarea contestațiilor privind verificarea administrativă și a eligibilității</w:t>
      </w:r>
      <w:bookmarkEnd w:id="64"/>
    </w:p>
    <w:p w14:paraId="468DD347" w14:textId="0D8F58F9" w:rsidR="0064192F" w:rsidRPr="005402C9" w:rsidRDefault="0064192F" w:rsidP="0064192F">
      <w:pPr>
        <w:spacing w:before="240" w:line="276" w:lineRule="auto"/>
        <w:jc w:val="both"/>
        <w:rPr>
          <w:sz w:val="22"/>
          <w:szCs w:val="22"/>
        </w:rPr>
      </w:pPr>
      <w:r w:rsidRPr="005402C9">
        <w:rPr>
          <w:sz w:val="22"/>
          <w:szCs w:val="22"/>
        </w:rPr>
        <w:t xml:space="preserve">Ministerul Investițiilor și Proiectelor Europene (MIPE) va transmite solicitanților, prin aplicația electronică </w:t>
      </w:r>
      <w:hyperlink r:id="rId17" w:history="1">
        <w:r w:rsidR="00DE4DD3" w:rsidRPr="005402C9">
          <w:rPr>
            <w:rStyle w:val="Hyperlink"/>
            <w:sz w:val="22"/>
            <w:szCs w:val="22"/>
          </w:rPr>
          <w:t>http://proiecte.pnrr.gov.ro</w:t>
        </w:r>
      </w:hyperlink>
      <w:r w:rsidRPr="005402C9">
        <w:rPr>
          <w:sz w:val="22"/>
          <w:szCs w:val="22"/>
        </w:rPr>
        <w:t xml:space="preserve">, Notificările privind rezultatul verificării conformității administrative. În cazul în care aplicația electronică </w:t>
      </w:r>
      <w:hyperlink r:id="rId18" w:history="1">
        <w:r w:rsidR="00DE4DD3" w:rsidRPr="005402C9">
          <w:rPr>
            <w:rStyle w:val="Hyperlink"/>
            <w:sz w:val="22"/>
            <w:szCs w:val="22"/>
          </w:rPr>
          <w:t>http://proiecte.pnrr.gov.ro</w:t>
        </w:r>
      </w:hyperlink>
      <w:r w:rsidRPr="005402C9">
        <w:rPr>
          <w:sz w:val="22"/>
          <w:szCs w:val="22"/>
        </w:rPr>
        <w:t xml:space="preserve"> nu permite, notificările sunt transmise prin e-mail/poștă/fax la datele de contact menționate de către solicitant în cererea de finanțare. În cazul în care solicitanții se consideră nemulțumiți de rezultatul verificării conformității administrative și a eligibilității</w:t>
      </w:r>
      <w:r w:rsidR="000C6AD9">
        <w:rPr>
          <w:sz w:val="22"/>
          <w:szCs w:val="22"/>
        </w:rPr>
        <w:t>,</w:t>
      </w:r>
      <w:r w:rsidRPr="005402C9">
        <w:rPr>
          <w:sz w:val="22"/>
          <w:szCs w:val="22"/>
        </w:rPr>
        <w:t xml:space="preserve"> pot depune o singură contestație, în termen de 30 zile calendaristice de la data înștiințării de către Ministerul Investițiilor și Proiectelor Europene a rezultatului asupra procesului de verificare. Contestațiile depuse după termenul anterior de 30 zile calendaristice vor fi respinse ca tardive.</w:t>
      </w:r>
    </w:p>
    <w:p w14:paraId="7623AF1B" w14:textId="668515BA" w:rsidR="0064192F" w:rsidRPr="005402C9" w:rsidRDefault="0064192F" w:rsidP="0013489D">
      <w:pPr>
        <w:spacing w:before="0" w:after="0" w:line="276" w:lineRule="auto"/>
        <w:jc w:val="both"/>
        <w:rPr>
          <w:sz w:val="22"/>
          <w:szCs w:val="22"/>
        </w:rPr>
      </w:pPr>
      <w:r w:rsidRPr="005402C9">
        <w:rPr>
          <w:sz w:val="22"/>
          <w:szCs w:val="22"/>
        </w:rPr>
        <w:t>Contestația se formulează în scris</w:t>
      </w:r>
      <w:r w:rsidR="00DE4DD3" w:rsidRPr="005402C9">
        <w:rPr>
          <w:sz w:val="22"/>
          <w:szCs w:val="22"/>
        </w:rPr>
        <w:t>, este</w:t>
      </w:r>
      <w:r w:rsidRPr="005402C9">
        <w:rPr>
          <w:sz w:val="22"/>
          <w:szCs w:val="22"/>
        </w:rPr>
        <w:t xml:space="preserve"> </w:t>
      </w:r>
      <w:r w:rsidR="00DE4DD3" w:rsidRPr="005402C9">
        <w:rPr>
          <w:sz w:val="22"/>
          <w:szCs w:val="22"/>
        </w:rPr>
        <w:t xml:space="preserve">semnată de către reprezentantul legal al solicitantului sau persoana împuternicită de acesta </w:t>
      </w:r>
      <w:r w:rsidRPr="005402C9">
        <w:rPr>
          <w:sz w:val="22"/>
          <w:szCs w:val="22"/>
        </w:rPr>
        <w:t>și trebuie să conțină următoarele elemente:</w:t>
      </w:r>
    </w:p>
    <w:p w14:paraId="5201A441" w14:textId="53C1050A" w:rsidR="0064192F" w:rsidRPr="005402C9" w:rsidRDefault="0064192F">
      <w:pPr>
        <w:pStyle w:val="ListParagraph"/>
        <w:numPr>
          <w:ilvl w:val="0"/>
          <w:numId w:val="17"/>
        </w:numPr>
        <w:spacing w:after="0" w:line="276" w:lineRule="auto"/>
        <w:jc w:val="both"/>
        <w:rPr>
          <w:rFonts w:ascii="Trebuchet MS" w:hAnsi="Trebuchet MS"/>
          <w:lang w:val="ro-RO"/>
        </w:rPr>
      </w:pPr>
      <w:r w:rsidRPr="005402C9">
        <w:rPr>
          <w:rFonts w:ascii="Trebuchet MS" w:hAnsi="Trebuchet MS"/>
          <w:lang w:val="ro-RO"/>
        </w:rPr>
        <w:t>numele și prenumele, domiciliul sau reședința, codul de identificare fiscală al contestatorului persoană fizică ori, după caz, pentru persoanele juridice, denumirea, sediul, codul unic de înregistrare, numărul de înmatriculare în registrul comerțului, persoanele care le reprezintă și în ce calitate. Se indică și adresa de poștă electronică, numărul de telefon și numărul de fax, după caz, la care poate fi comunicat orice act procedural. Contestatorul care locuiește în străinătate indică, pentru celeritate, și domiciliul ales sau reședința din România unde urmează să i se transmită comunicările privind soluționarea contestației;</w:t>
      </w:r>
    </w:p>
    <w:p w14:paraId="24073EC9" w14:textId="537D1E56" w:rsidR="0064192F" w:rsidRPr="005402C9" w:rsidRDefault="0064192F">
      <w:pPr>
        <w:pStyle w:val="ListParagraph"/>
        <w:numPr>
          <w:ilvl w:val="0"/>
          <w:numId w:val="17"/>
        </w:numPr>
        <w:spacing w:after="0" w:line="276" w:lineRule="auto"/>
        <w:jc w:val="both"/>
        <w:rPr>
          <w:rFonts w:ascii="Trebuchet MS" w:hAnsi="Trebuchet MS"/>
          <w:lang w:val="ro-RO"/>
        </w:rPr>
      </w:pPr>
      <w:r w:rsidRPr="005402C9">
        <w:rPr>
          <w:rFonts w:ascii="Trebuchet MS" w:hAnsi="Trebuchet MS"/>
          <w:lang w:val="ro-RO"/>
        </w:rPr>
        <w:t>denumirea și sediul solicitantului;</w:t>
      </w:r>
    </w:p>
    <w:p w14:paraId="45007172" w14:textId="6A554F29" w:rsidR="0064192F" w:rsidRPr="005402C9" w:rsidRDefault="0064192F">
      <w:pPr>
        <w:pStyle w:val="ListParagraph"/>
        <w:numPr>
          <w:ilvl w:val="0"/>
          <w:numId w:val="17"/>
        </w:numPr>
        <w:spacing w:after="0" w:line="276" w:lineRule="auto"/>
        <w:jc w:val="both"/>
        <w:rPr>
          <w:rFonts w:ascii="Trebuchet MS" w:hAnsi="Trebuchet MS"/>
          <w:lang w:val="ro-RO"/>
        </w:rPr>
      </w:pPr>
      <w:r w:rsidRPr="005402C9">
        <w:rPr>
          <w:rFonts w:ascii="Trebuchet MS" w:hAnsi="Trebuchet MS"/>
          <w:lang w:val="ro-RO"/>
        </w:rPr>
        <w:t>precizarea actului atacat al autorității contractante;</w:t>
      </w:r>
    </w:p>
    <w:p w14:paraId="3D0D06BE" w14:textId="1C412CCD" w:rsidR="0064192F" w:rsidRPr="005402C9" w:rsidRDefault="0064192F">
      <w:pPr>
        <w:pStyle w:val="ListParagraph"/>
        <w:numPr>
          <w:ilvl w:val="0"/>
          <w:numId w:val="17"/>
        </w:numPr>
        <w:spacing w:after="0" w:line="276" w:lineRule="auto"/>
        <w:jc w:val="both"/>
        <w:rPr>
          <w:rFonts w:ascii="Trebuchet MS" w:hAnsi="Trebuchet MS"/>
          <w:lang w:val="ro-RO"/>
        </w:rPr>
      </w:pPr>
      <w:r w:rsidRPr="005402C9">
        <w:rPr>
          <w:rFonts w:ascii="Trebuchet MS" w:hAnsi="Trebuchet MS"/>
          <w:lang w:val="ro-RO"/>
        </w:rPr>
        <w:t>obiectul contestației;</w:t>
      </w:r>
    </w:p>
    <w:p w14:paraId="37C8892E" w14:textId="7DAACE86" w:rsidR="0064192F" w:rsidRPr="005402C9" w:rsidRDefault="0064192F">
      <w:pPr>
        <w:pStyle w:val="ListParagraph"/>
        <w:numPr>
          <w:ilvl w:val="0"/>
          <w:numId w:val="17"/>
        </w:numPr>
        <w:spacing w:after="0" w:line="276" w:lineRule="auto"/>
        <w:jc w:val="both"/>
        <w:rPr>
          <w:rFonts w:ascii="Trebuchet MS" w:hAnsi="Trebuchet MS"/>
          <w:lang w:val="ro-RO"/>
        </w:rPr>
      </w:pPr>
      <w:r w:rsidRPr="005402C9">
        <w:rPr>
          <w:rFonts w:ascii="Trebuchet MS" w:hAnsi="Trebuchet MS"/>
          <w:lang w:val="ro-RO"/>
        </w:rPr>
        <w:t>motivarea în fapt și în drept a contestației;</w:t>
      </w:r>
    </w:p>
    <w:p w14:paraId="2343819B" w14:textId="7EDCAD7D" w:rsidR="0064192F" w:rsidRPr="005402C9" w:rsidRDefault="0064192F">
      <w:pPr>
        <w:pStyle w:val="ListParagraph"/>
        <w:numPr>
          <w:ilvl w:val="0"/>
          <w:numId w:val="17"/>
        </w:numPr>
        <w:spacing w:after="0" w:line="276" w:lineRule="auto"/>
        <w:jc w:val="both"/>
        <w:rPr>
          <w:rFonts w:ascii="Trebuchet MS" w:hAnsi="Trebuchet MS"/>
          <w:lang w:val="ro-RO"/>
        </w:rPr>
      </w:pPr>
      <w:r w:rsidRPr="005402C9">
        <w:rPr>
          <w:rFonts w:ascii="Trebuchet MS" w:hAnsi="Trebuchet MS"/>
          <w:lang w:val="ro-RO"/>
        </w:rPr>
        <w:t>mijloacele de probă pe care se sprijină contestația, în măsura în care este posibil;</w:t>
      </w:r>
    </w:p>
    <w:p w14:paraId="6FCFCD41" w14:textId="32AACBF1" w:rsidR="0064192F" w:rsidRPr="005402C9" w:rsidRDefault="0064192F">
      <w:pPr>
        <w:pStyle w:val="ListParagraph"/>
        <w:numPr>
          <w:ilvl w:val="0"/>
          <w:numId w:val="17"/>
        </w:numPr>
        <w:spacing w:after="0" w:line="276" w:lineRule="auto"/>
        <w:jc w:val="both"/>
        <w:rPr>
          <w:rFonts w:ascii="Trebuchet MS" w:hAnsi="Trebuchet MS"/>
          <w:lang w:val="ro-RO"/>
        </w:rPr>
      </w:pPr>
      <w:r w:rsidRPr="005402C9">
        <w:rPr>
          <w:rFonts w:ascii="Trebuchet MS" w:hAnsi="Trebuchet MS"/>
          <w:lang w:val="ro-RO"/>
        </w:rPr>
        <w:t>semnătura contestatorului persoană fizică sau a reprezentantului persoanei juridice.</w:t>
      </w:r>
    </w:p>
    <w:p w14:paraId="12022E6D" w14:textId="3DC89F57" w:rsidR="0064192F" w:rsidRPr="005402C9" w:rsidRDefault="0064192F" w:rsidP="0064192F">
      <w:pPr>
        <w:spacing w:before="240" w:line="276" w:lineRule="auto"/>
        <w:jc w:val="both"/>
        <w:rPr>
          <w:sz w:val="22"/>
          <w:szCs w:val="22"/>
        </w:rPr>
      </w:pPr>
      <w:r w:rsidRPr="005402C9">
        <w:rPr>
          <w:sz w:val="22"/>
          <w:szCs w:val="22"/>
        </w:rPr>
        <w:t xml:space="preserve">Ministerul Investițiilor și Proiectelor Europene soluționează contestațiile depuse împotriva Notificărilor privind rezultatul verificărilor prin Decizie de soluționare a contestației prin care poate dispune admiterea în tot sau în parte sau respingerea contestației formulate, decizie care este definitivă în sistemul căilor de atac administrative conform prevederilor Legii nr. 554/2004 privind contenciosul administrativ. Ministerul Investițiilor și Proiectelor Europene va încărca Decizia de soluționare a contestației însoțită de adresa de înaintare a acesteia în aplicația </w:t>
      </w:r>
      <w:hyperlink r:id="rId19" w:history="1">
        <w:r w:rsidR="00D41D09" w:rsidRPr="005402C9">
          <w:rPr>
            <w:rStyle w:val="Hyperlink"/>
            <w:sz w:val="22"/>
            <w:szCs w:val="22"/>
          </w:rPr>
          <w:t>http://proiecte.pnrr.gov.ro</w:t>
        </w:r>
      </w:hyperlink>
      <w:r w:rsidRPr="005402C9">
        <w:rPr>
          <w:sz w:val="22"/>
          <w:szCs w:val="22"/>
        </w:rPr>
        <w:t xml:space="preserve">. În cazul în care aplicația electronică </w:t>
      </w:r>
      <w:hyperlink r:id="rId20" w:history="1">
        <w:r w:rsidR="00D41D09" w:rsidRPr="005402C9">
          <w:rPr>
            <w:rStyle w:val="Hyperlink"/>
            <w:sz w:val="22"/>
            <w:szCs w:val="22"/>
          </w:rPr>
          <w:t>http://proiecte.pnrr.gov.ro</w:t>
        </w:r>
      </w:hyperlink>
      <w:r w:rsidR="00D41D09" w:rsidRPr="005402C9">
        <w:rPr>
          <w:sz w:val="22"/>
          <w:szCs w:val="22"/>
        </w:rPr>
        <w:t xml:space="preserve"> </w:t>
      </w:r>
      <w:r w:rsidRPr="005402C9">
        <w:rPr>
          <w:sz w:val="22"/>
          <w:szCs w:val="22"/>
        </w:rPr>
        <w:t>nu permite, Decizia de soluționare a contestației va fi transmisă prin e-mail/poștă/fax la datele de contact menționate de solicitant în cuprinsul contestației.</w:t>
      </w:r>
    </w:p>
    <w:p w14:paraId="1A492582" w14:textId="78BBD027" w:rsidR="0064192F" w:rsidRPr="005402C9" w:rsidRDefault="0064192F" w:rsidP="0064192F">
      <w:pPr>
        <w:spacing w:before="240" w:line="276" w:lineRule="auto"/>
        <w:jc w:val="both"/>
        <w:rPr>
          <w:sz w:val="22"/>
          <w:szCs w:val="22"/>
        </w:rPr>
      </w:pPr>
      <w:r w:rsidRPr="005402C9">
        <w:rPr>
          <w:sz w:val="22"/>
          <w:szCs w:val="22"/>
        </w:rPr>
        <w:t>Decizia de soluționare a contestației poate fi atacată doar în fața instanțelor judecătorești competente, în condițiile Legii nr. 554/2004 privind contenciosul administrativ.</w:t>
      </w:r>
    </w:p>
    <w:p w14:paraId="59BB1F34" w14:textId="77777777" w:rsidR="008620EF" w:rsidRPr="005402C9" w:rsidRDefault="008620EF" w:rsidP="0013489D">
      <w:pPr>
        <w:spacing w:after="0" w:line="276" w:lineRule="auto"/>
        <w:jc w:val="both"/>
        <w:rPr>
          <w:color w:val="000000"/>
          <w:sz w:val="22"/>
          <w:szCs w:val="22"/>
        </w:rPr>
      </w:pPr>
      <w:bookmarkStart w:id="65" w:name="_3whwml4"/>
      <w:bookmarkStart w:id="66" w:name="_2bn6wsx"/>
      <w:bookmarkStart w:id="67" w:name="_qsh70q"/>
      <w:bookmarkStart w:id="68" w:name="_3as4poj"/>
      <w:bookmarkStart w:id="69" w:name="_1pxezwc"/>
      <w:bookmarkEnd w:id="65"/>
      <w:bookmarkEnd w:id="66"/>
      <w:bookmarkEnd w:id="67"/>
      <w:bookmarkEnd w:id="68"/>
      <w:bookmarkEnd w:id="69"/>
    </w:p>
    <w:p w14:paraId="407BA494" w14:textId="26C75FC6" w:rsidR="008620EF" w:rsidRPr="005402C9" w:rsidRDefault="00F60438" w:rsidP="0013489D">
      <w:pPr>
        <w:pStyle w:val="Heading1"/>
        <w:spacing w:after="0" w:line="276" w:lineRule="auto"/>
        <w:ind w:left="0" w:firstLine="0"/>
        <w:jc w:val="both"/>
        <w:rPr>
          <w:sz w:val="22"/>
          <w:szCs w:val="22"/>
        </w:rPr>
      </w:pPr>
      <w:bookmarkStart w:id="70" w:name="_49x2ik5"/>
      <w:bookmarkStart w:id="71" w:name="_Toc149913305"/>
      <w:bookmarkStart w:id="72" w:name="_Toc149913572"/>
      <w:bookmarkStart w:id="73" w:name="_Toc149913306"/>
      <w:bookmarkStart w:id="74" w:name="_Toc149913573"/>
      <w:bookmarkStart w:id="75" w:name="_Toc149913307"/>
      <w:bookmarkStart w:id="76" w:name="_Toc149913574"/>
      <w:bookmarkStart w:id="77" w:name="_Toc150159471"/>
      <w:bookmarkEnd w:id="70"/>
      <w:bookmarkEnd w:id="71"/>
      <w:bookmarkEnd w:id="72"/>
      <w:bookmarkEnd w:id="73"/>
      <w:bookmarkEnd w:id="74"/>
      <w:bookmarkEnd w:id="75"/>
      <w:bookmarkEnd w:id="76"/>
      <w:r w:rsidRPr="005402C9">
        <w:rPr>
          <w:color w:val="7030A0"/>
          <w:sz w:val="22"/>
          <w:szCs w:val="22"/>
        </w:rPr>
        <w:lastRenderedPageBreak/>
        <w:t>CONTRACTAREA</w:t>
      </w:r>
      <w:r w:rsidR="004535C8" w:rsidRPr="005402C9">
        <w:rPr>
          <w:b w:val="0"/>
          <w:sz w:val="22"/>
          <w:szCs w:val="22"/>
        </w:rPr>
        <w:t xml:space="preserve"> </w:t>
      </w:r>
      <w:r w:rsidR="004535C8" w:rsidRPr="005402C9">
        <w:rPr>
          <w:color w:val="7030A0"/>
          <w:sz w:val="22"/>
          <w:szCs w:val="22"/>
        </w:rPr>
        <w:t xml:space="preserve">ȘI </w:t>
      </w:r>
      <w:r w:rsidR="003804A0" w:rsidRPr="005402C9">
        <w:rPr>
          <w:color w:val="7030A0"/>
          <w:sz w:val="22"/>
          <w:szCs w:val="22"/>
        </w:rPr>
        <w:t>IMPLEMENTAREA PROIECTELOR</w:t>
      </w:r>
      <w:bookmarkEnd w:id="77"/>
    </w:p>
    <w:p w14:paraId="7A5DF610" w14:textId="0716D3A6" w:rsidR="003804A0" w:rsidRPr="005402C9" w:rsidRDefault="003804A0" w:rsidP="0013489D">
      <w:pPr>
        <w:pStyle w:val="Heading2"/>
        <w:rPr>
          <w:sz w:val="22"/>
          <w:szCs w:val="22"/>
        </w:rPr>
      </w:pPr>
      <w:bookmarkStart w:id="78" w:name="_147n2zr"/>
      <w:bookmarkStart w:id="79" w:name="_3o7alnk"/>
      <w:bookmarkStart w:id="80" w:name="_23ckvvd"/>
      <w:bookmarkStart w:id="81" w:name="_ihv636"/>
      <w:bookmarkStart w:id="82" w:name="_1hmsyys"/>
      <w:bookmarkStart w:id="83" w:name="_32hioqz"/>
      <w:bookmarkStart w:id="84" w:name="_41mghml"/>
      <w:bookmarkStart w:id="85" w:name="_2grqrue"/>
      <w:bookmarkStart w:id="86" w:name="_Toc150159472"/>
      <w:bookmarkEnd w:id="78"/>
      <w:bookmarkEnd w:id="79"/>
      <w:bookmarkEnd w:id="80"/>
      <w:bookmarkEnd w:id="81"/>
      <w:bookmarkEnd w:id="82"/>
      <w:bookmarkEnd w:id="83"/>
      <w:bookmarkEnd w:id="84"/>
      <w:bookmarkEnd w:id="85"/>
      <w:r w:rsidRPr="005402C9">
        <w:rPr>
          <w:sz w:val="22"/>
          <w:szCs w:val="22"/>
        </w:rPr>
        <w:t>7.1. Contractarea proiectelor</w:t>
      </w:r>
      <w:bookmarkEnd w:id="86"/>
      <w:r w:rsidRPr="005402C9">
        <w:rPr>
          <w:sz w:val="22"/>
          <w:szCs w:val="22"/>
        </w:rPr>
        <w:t xml:space="preserve">                                                                                                 </w:t>
      </w:r>
    </w:p>
    <w:p w14:paraId="1A111F81" w14:textId="670E47DA" w:rsidR="008620EF" w:rsidRPr="005402C9" w:rsidRDefault="00F60438" w:rsidP="000C264C">
      <w:pPr>
        <w:spacing w:line="276" w:lineRule="auto"/>
        <w:jc w:val="both"/>
        <w:rPr>
          <w:sz w:val="22"/>
          <w:szCs w:val="22"/>
        </w:rPr>
      </w:pPr>
      <w:r w:rsidRPr="005402C9">
        <w:rPr>
          <w:sz w:val="22"/>
          <w:szCs w:val="22"/>
        </w:rPr>
        <w:t>Ministerul Investițiilor și Proiectelor Europene</w:t>
      </w:r>
      <w:r w:rsidR="006A4F03" w:rsidRPr="005402C9">
        <w:rPr>
          <w:sz w:val="22"/>
          <w:szCs w:val="22"/>
        </w:rPr>
        <w:t xml:space="preserve"> (MIPE)</w:t>
      </w:r>
      <w:r w:rsidR="005A2CF8" w:rsidRPr="005402C9">
        <w:rPr>
          <w:sz w:val="22"/>
          <w:szCs w:val="22"/>
        </w:rPr>
        <w:t xml:space="preserve"> și Ministerul Economiei, Antreprenoriatului și Turismului</w:t>
      </w:r>
      <w:r w:rsidR="006A4F03" w:rsidRPr="005402C9">
        <w:rPr>
          <w:sz w:val="22"/>
          <w:szCs w:val="22"/>
        </w:rPr>
        <w:t xml:space="preserve"> (MEAT)</w:t>
      </w:r>
      <w:r w:rsidR="005A2CF8" w:rsidRPr="005402C9">
        <w:rPr>
          <w:sz w:val="22"/>
          <w:szCs w:val="22"/>
        </w:rPr>
        <w:t xml:space="preserve"> </w:t>
      </w:r>
      <w:r w:rsidRPr="005402C9">
        <w:rPr>
          <w:sz w:val="22"/>
          <w:szCs w:val="22"/>
        </w:rPr>
        <w:t>v</w:t>
      </w:r>
      <w:r w:rsidR="005A2CF8" w:rsidRPr="005402C9">
        <w:rPr>
          <w:sz w:val="22"/>
          <w:szCs w:val="22"/>
        </w:rPr>
        <w:t>or</w:t>
      </w:r>
      <w:r w:rsidRPr="005402C9">
        <w:rPr>
          <w:sz w:val="22"/>
          <w:szCs w:val="22"/>
        </w:rPr>
        <w:t xml:space="preserve"> demara etapa de contractare pentru </w:t>
      </w:r>
      <w:r w:rsidR="008C2FD9" w:rsidRPr="005402C9">
        <w:rPr>
          <w:sz w:val="22"/>
          <w:szCs w:val="22"/>
        </w:rPr>
        <w:t>sub</w:t>
      </w:r>
      <w:r w:rsidRPr="005402C9">
        <w:rPr>
          <w:sz w:val="22"/>
          <w:szCs w:val="22"/>
        </w:rPr>
        <w:t>proiectele</w:t>
      </w:r>
      <w:r w:rsidR="008C2FD9" w:rsidRPr="005402C9">
        <w:rPr>
          <w:sz w:val="22"/>
          <w:szCs w:val="22"/>
        </w:rPr>
        <w:t xml:space="preserve"> selectate pentru finanțare </w:t>
      </w:r>
      <w:r w:rsidR="000C264C" w:rsidRPr="005402C9">
        <w:rPr>
          <w:sz w:val="22"/>
          <w:szCs w:val="22"/>
        </w:rPr>
        <w:t>în urma soluționării contestațiilor transmise de către solicitanți, cu respectarea condiției de încadrare în bugetul alocat pentru apelul de proiecte</w:t>
      </w:r>
      <w:r w:rsidR="00BE0522" w:rsidRPr="005402C9">
        <w:rPr>
          <w:sz w:val="22"/>
          <w:szCs w:val="22"/>
        </w:rPr>
        <w:t xml:space="preserve">. În acest scop, MIPE </w:t>
      </w:r>
      <w:r w:rsidR="000C264C" w:rsidRPr="005402C9">
        <w:rPr>
          <w:sz w:val="22"/>
          <w:szCs w:val="22"/>
        </w:rPr>
        <w:t xml:space="preserve">transmite </w:t>
      </w:r>
      <w:r w:rsidRPr="005402C9">
        <w:rPr>
          <w:sz w:val="22"/>
          <w:szCs w:val="22"/>
        </w:rPr>
        <w:t>solicitantului o scrisoare prin care va solicita următoarele documente:</w:t>
      </w:r>
    </w:p>
    <w:p w14:paraId="1DF25A07" w14:textId="29E760D2" w:rsidR="008620EF" w:rsidRPr="005402C9" w:rsidRDefault="00F60438">
      <w:pPr>
        <w:pStyle w:val="ListParagraph"/>
        <w:numPr>
          <w:ilvl w:val="0"/>
          <w:numId w:val="19"/>
        </w:numPr>
        <w:spacing w:line="276" w:lineRule="auto"/>
        <w:jc w:val="both"/>
        <w:rPr>
          <w:rFonts w:ascii="Trebuchet MS" w:hAnsi="Trebuchet MS"/>
          <w:lang w:val="ro-RO"/>
        </w:rPr>
      </w:pPr>
      <w:r w:rsidRPr="005402C9">
        <w:rPr>
          <w:rFonts w:ascii="Trebuchet MS" w:hAnsi="Trebuchet MS"/>
          <w:lang w:val="ro-RO"/>
        </w:rPr>
        <w:t>acordul privind acceptarea finanțării de către solicitant;</w:t>
      </w:r>
    </w:p>
    <w:p w14:paraId="757480ED" w14:textId="2C7A1DF9" w:rsidR="008620EF" w:rsidRPr="005402C9" w:rsidRDefault="00F60438">
      <w:pPr>
        <w:pStyle w:val="ListParagraph"/>
        <w:numPr>
          <w:ilvl w:val="0"/>
          <w:numId w:val="19"/>
        </w:numPr>
        <w:spacing w:line="276" w:lineRule="auto"/>
        <w:jc w:val="both"/>
        <w:rPr>
          <w:rFonts w:ascii="Trebuchet MS" w:hAnsi="Trebuchet MS"/>
          <w:lang w:val="ro-RO"/>
        </w:rPr>
      </w:pPr>
      <w:r w:rsidRPr="005402C9">
        <w:rPr>
          <w:rFonts w:ascii="Trebuchet MS" w:hAnsi="Trebuchet MS"/>
          <w:lang w:val="ro-RO"/>
        </w:rPr>
        <w:t>lista cu documentele necesar a fi completate și asumate prin semnătură electronică extinsă de către reprezentantul legal/împuternicitul solicitantului:</w:t>
      </w:r>
    </w:p>
    <w:p w14:paraId="729DC7CD" w14:textId="77777777" w:rsidR="003E0761" w:rsidRPr="005402C9" w:rsidRDefault="003E0761" w:rsidP="0013489D">
      <w:pPr>
        <w:pBdr>
          <w:left w:val="single" w:sz="4" w:space="1" w:color="000000"/>
        </w:pBdr>
        <w:spacing w:line="276" w:lineRule="auto"/>
        <w:ind w:left="1440"/>
        <w:jc w:val="both"/>
        <w:rPr>
          <w:sz w:val="22"/>
          <w:szCs w:val="22"/>
        </w:rPr>
      </w:pPr>
      <w:r w:rsidRPr="005402C9">
        <w:rPr>
          <w:sz w:val="22"/>
          <w:szCs w:val="22"/>
        </w:rPr>
        <w:t>1) Certificat de atestare fiscală, în original, privind îndeplinirea obligațiilor de plată la bugetul general consolidat eliberat de organul fiscal competent, în termenul de valabilitate care să ateste că solicitantul nu se încadrează din punct de vedere al obligațiilor restante la bugetele publice în situația în care obligațiile de plată nete depășesc 1/12 din totalul obligațiilor datorate în ultimele 12 luni, în cazul certificatului de atestare fiscală emis de Agenția Națională de Administrare Fiscală, conform Legii nr. 207/ 2015 privind Codul de procedură fiscală, cu modificările și completările ulterioare (Atenție: În certificatul de atestare fiscală, privind îndeplinirea obligațiilor de plată la bugetul general consolidat, trebuie să fie completată inclusiv Secțiunea C. Informații privind verificarea eligibilității contribuabililor pentru accesarea fondurilor nerambursabile);</w:t>
      </w:r>
    </w:p>
    <w:p w14:paraId="2A06FF08" w14:textId="77777777" w:rsidR="003E0761" w:rsidRPr="005402C9" w:rsidRDefault="003E0761" w:rsidP="0013489D">
      <w:pPr>
        <w:pBdr>
          <w:left w:val="single" w:sz="4" w:space="1" w:color="000000"/>
        </w:pBdr>
        <w:spacing w:line="276" w:lineRule="auto"/>
        <w:ind w:left="1440"/>
        <w:jc w:val="both"/>
        <w:rPr>
          <w:sz w:val="22"/>
          <w:szCs w:val="22"/>
        </w:rPr>
      </w:pPr>
      <w:r w:rsidRPr="005402C9">
        <w:rPr>
          <w:sz w:val="22"/>
          <w:szCs w:val="22"/>
        </w:rPr>
        <w:t>2) Certificate de atestare fiscală, în original, privind îndeplinirea obligațiilor de plată către bugetele locale eliberate de Direcția de taxe și impozite locale, în original, pentru sediul social şi toate punctele de lucru menționate în certificatul constatator, în termenul de valabilitate care să ateste că solicitantul nu se încadrează din punct de vedere al obligațiilor restante la bugetele publice în situația în care obligațiile de plată depășesc 1/6 din totalul obligațiilor datorate în ultimul semestru, în cazul certificatului de atestare fiscală emis de autoritățile publice locale, conform Legii 207/2015 privind Codul de procedură fiscală, cu modificările şi completările ulterioare;</w:t>
      </w:r>
    </w:p>
    <w:p w14:paraId="69729D9C" w14:textId="77777777" w:rsidR="003E0761" w:rsidRPr="005402C9" w:rsidRDefault="003E0761" w:rsidP="0013489D">
      <w:pPr>
        <w:pBdr>
          <w:left w:val="single" w:sz="4" w:space="1" w:color="000000"/>
        </w:pBdr>
        <w:spacing w:line="276" w:lineRule="auto"/>
        <w:ind w:left="1440"/>
        <w:jc w:val="both"/>
        <w:rPr>
          <w:sz w:val="22"/>
          <w:szCs w:val="22"/>
        </w:rPr>
      </w:pPr>
      <w:r w:rsidRPr="005402C9">
        <w:rPr>
          <w:sz w:val="22"/>
          <w:szCs w:val="22"/>
        </w:rPr>
        <w:t>3) Certificat de cazier fiscal al solicitantului, în original, eliberat de organul fiscal competent, conform OUG nr. 39/2015 privind cazierul fiscal;</w:t>
      </w:r>
    </w:p>
    <w:p w14:paraId="6D15635A" w14:textId="77777777" w:rsidR="003E0761" w:rsidRPr="005402C9" w:rsidRDefault="003E0761" w:rsidP="0013489D">
      <w:pPr>
        <w:pBdr>
          <w:left w:val="single" w:sz="4" w:space="1" w:color="000000"/>
        </w:pBdr>
        <w:spacing w:line="276" w:lineRule="auto"/>
        <w:ind w:left="1440"/>
        <w:jc w:val="both"/>
        <w:rPr>
          <w:sz w:val="22"/>
          <w:szCs w:val="22"/>
        </w:rPr>
      </w:pPr>
      <w:r w:rsidRPr="005402C9">
        <w:rPr>
          <w:sz w:val="22"/>
          <w:szCs w:val="22"/>
        </w:rPr>
        <w:t>4) Certificat de cazier judiciar al reprezentantului legal al solicitantului (în original), conform Legii nr. 290/2004 privind cazierul judiciar, republicat cu modificările şi completările ulterioare;</w:t>
      </w:r>
    </w:p>
    <w:p w14:paraId="6891734C" w14:textId="71E3DBC6" w:rsidR="003E0761" w:rsidRPr="00020233" w:rsidRDefault="003E0761" w:rsidP="0013489D">
      <w:pPr>
        <w:pBdr>
          <w:left w:val="single" w:sz="4" w:space="1" w:color="000000"/>
        </w:pBdr>
        <w:spacing w:line="276" w:lineRule="auto"/>
        <w:ind w:left="1440"/>
        <w:jc w:val="both"/>
        <w:rPr>
          <w:sz w:val="22"/>
          <w:szCs w:val="22"/>
        </w:rPr>
      </w:pPr>
      <w:r w:rsidRPr="005402C9">
        <w:rPr>
          <w:sz w:val="22"/>
          <w:szCs w:val="22"/>
        </w:rPr>
        <w:t xml:space="preserve">5) Anexă în care să se menționeze explicit documentele, secțiunile, respectiv informațiile din subproiect care sunt confidențiale în conformitate cu prevederile </w:t>
      </w:r>
      <w:r w:rsidRPr="00020233">
        <w:rPr>
          <w:sz w:val="22"/>
          <w:szCs w:val="22"/>
        </w:rPr>
        <w:t>contractului de finanțare;</w:t>
      </w:r>
    </w:p>
    <w:p w14:paraId="2F011156" w14:textId="04054B7F" w:rsidR="003E0761" w:rsidRPr="005402C9" w:rsidRDefault="003E0761" w:rsidP="0013489D">
      <w:pPr>
        <w:pBdr>
          <w:left w:val="single" w:sz="4" w:space="1" w:color="000000"/>
        </w:pBdr>
        <w:spacing w:line="276" w:lineRule="auto"/>
        <w:ind w:left="1440"/>
        <w:jc w:val="both"/>
        <w:rPr>
          <w:sz w:val="22"/>
          <w:szCs w:val="22"/>
        </w:rPr>
      </w:pPr>
      <w:r w:rsidRPr="00020233">
        <w:rPr>
          <w:sz w:val="22"/>
          <w:szCs w:val="22"/>
        </w:rPr>
        <w:t xml:space="preserve">6) Lista semnăturilor autorizate pentru efectuarea tranzacțiilor bancare din fonduri aferente </w:t>
      </w:r>
      <w:r w:rsidR="00FA4577" w:rsidRPr="00020233">
        <w:rPr>
          <w:sz w:val="22"/>
          <w:szCs w:val="22"/>
        </w:rPr>
        <w:t>sub</w:t>
      </w:r>
      <w:r w:rsidRPr="00020233">
        <w:rPr>
          <w:sz w:val="22"/>
          <w:szCs w:val="22"/>
        </w:rPr>
        <w:t>proiectului.</w:t>
      </w:r>
    </w:p>
    <w:p w14:paraId="03F75DBD" w14:textId="77777777" w:rsidR="00927EC4" w:rsidRPr="005402C9" w:rsidRDefault="00927EC4" w:rsidP="0013489D">
      <w:pPr>
        <w:pStyle w:val="ListParagraph"/>
        <w:spacing w:line="276" w:lineRule="auto"/>
        <w:ind w:left="1080"/>
        <w:jc w:val="both"/>
        <w:rPr>
          <w:rFonts w:ascii="Trebuchet MS" w:hAnsi="Trebuchet MS"/>
          <w:lang w:val="ro-RO"/>
        </w:rPr>
      </w:pPr>
    </w:p>
    <w:p w14:paraId="118301C1" w14:textId="63DCB072" w:rsidR="008620EF" w:rsidRPr="005402C9" w:rsidRDefault="00F60438">
      <w:pPr>
        <w:pStyle w:val="ListParagraph"/>
        <w:numPr>
          <w:ilvl w:val="0"/>
          <w:numId w:val="2"/>
        </w:numPr>
        <w:spacing w:line="276" w:lineRule="auto"/>
        <w:jc w:val="both"/>
        <w:rPr>
          <w:rFonts w:ascii="Trebuchet MS" w:hAnsi="Trebuchet MS"/>
          <w:lang w:val="ro-RO"/>
        </w:rPr>
      </w:pPr>
      <w:r w:rsidRPr="005402C9">
        <w:rPr>
          <w:rFonts w:ascii="Trebuchet MS" w:hAnsi="Trebuchet MS"/>
          <w:lang w:val="ro-RO"/>
        </w:rPr>
        <w:t>Declarați</w:t>
      </w:r>
      <w:r w:rsidR="00FA4577" w:rsidRPr="005402C9">
        <w:rPr>
          <w:rFonts w:ascii="Trebuchet MS" w:hAnsi="Trebuchet MS"/>
          <w:lang w:val="ro-RO"/>
        </w:rPr>
        <w:t>a</w:t>
      </w:r>
      <w:r w:rsidRPr="005402C9">
        <w:rPr>
          <w:rFonts w:ascii="Trebuchet MS" w:hAnsi="Trebuchet MS"/>
          <w:lang w:val="ro-RO"/>
        </w:rPr>
        <w:t xml:space="preserve"> de eligibilitate </w:t>
      </w:r>
      <w:r w:rsidR="00FA4577" w:rsidRPr="005402C9">
        <w:rPr>
          <w:rFonts w:ascii="Trebuchet MS" w:hAnsi="Trebuchet MS"/>
          <w:lang w:val="ro-RO"/>
        </w:rPr>
        <w:t xml:space="preserve">(Model B) </w:t>
      </w:r>
      <w:r w:rsidRPr="005402C9">
        <w:rPr>
          <w:rFonts w:ascii="Trebuchet MS" w:hAnsi="Trebuchet MS"/>
          <w:lang w:val="ro-RO"/>
        </w:rPr>
        <w:t>– actualizată;</w:t>
      </w:r>
    </w:p>
    <w:tbl>
      <w:tblPr>
        <w:tblW w:w="9720" w:type="dxa"/>
        <w:tblLayout w:type="fixed"/>
        <w:tblLook w:val="0000" w:firstRow="0" w:lastRow="0" w:firstColumn="0" w:lastColumn="0" w:noHBand="0" w:noVBand="0"/>
      </w:tblPr>
      <w:tblGrid>
        <w:gridCol w:w="270"/>
        <w:gridCol w:w="9450"/>
      </w:tblGrid>
      <w:tr w:rsidR="008620EF" w:rsidRPr="005402C9" w14:paraId="359557E0" w14:textId="77777777" w:rsidTr="0013489D">
        <w:trPr>
          <w:trHeight w:val="1719"/>
        </w:trPr>
        <w:tc>
          <w:tcPr>
            <w:tcW w:w="270" w:type="dxa"/>
            <w:tcBorders>
              <w:right w:val="single" w:sz="8" w:space="0" w:color="808080"/>
            </w:tcBorders>
            <w:vAlign w:val="center"/>
          </w:tcPr>
          <w:p w14:paraId="3683137E" w14:textId="77777777" w:rsidR="008620EF" w:rsidRPr="005402C9" w:rsidRDefault="008620EF" w:rsidP="00AB5FF3">
            <w:pPr>
              <w:widowControl w:val="0"/>
              <w:spacing w:before="0" w:after="0" w:line="276" w:lineRule="auto"/>
              <w:jc w:val="both"/>
              <w:rPr>
                <w:b/>
                <w:sz w:val="22"/>
                <w:szCs w:val="22"/>
              </w:rPr>
            </w:pPr>
            <w:bookmarkStart w:id="87" w:name="_vx1227"/>
            <w:bookmarkEnd w:id="87"/>
          </w:p>
        </w:tc>
        <w:tc>
          <w:tcPr>
            <w:tcW w:w="9450" w:type="dxa"/>
            <w:tcBorders>
              <w:left w:val="single" w:sz="8" w:space="0" w:color="808080"/>
            </w:tcBorders>
            <w:vAlign w:val="center"/>
          </w:tcPr>
          <w:p w14:paraId="0DC765B4" w14:textId="2C3DFC6C" w:rsidR="008620EF" w:rsidRPr="005402C9" w:rsidRDefault="00F60438" w:rsidP="00927EC4">
            <w:pPr>
              <w:widowControl w:val="0"/>
              <w:spacing w:before="0" w:after="0" w:line="276" w:lineRule="auto"/>
              <w:jc w:val="both"/>
              <w:rPr>
                <w:i/>
                <w:iCs/>
                <w:sz w:val="22"/>
                <w:szCs w:val="22"/>
              </w:rPr>
            </w:pPr>
            <w:r w:rsidRPr="005402C9">
              <w:rPr>
                <w:i/>
                <w:iCs/>
                <w:sz w:val="22"/>
                <w:szCs w:val="22"/>
              </w:rPr>
              <w:t xml:space="preserve">În urma verificării documentațiilor solicitate în vederea contractării, </w:t>
            </w:r>
            <w:r w:rsidR="006A4F03" w:rsidRPr="005402C9">
              <w:rPr>
                <w:i/>
                <w:iCs/>
                <w:sz w:val="22"/>
                <w:szCs w:val="22"/>
              </w:rPr>
              <w:t>MIPE</w:t>
            </w:r>
            <w:r w:rsidR="006164CA" w:rsidRPr="005402C9">
              <w:rPr>
                <w:i/>
                <w:iCs/>
                <w:sz w:val="22"/>
                <w:szCs w:val="22"/>
              </w:rPr>
              <w:t xml:space="preserve"> și MEAT </w:t>
            </w:r>
            <w:r w:rsidRPr="005402C9">
              <w:rPr>
                <w:i/>
                <w:iCs/>
                <w:sz w:val="22"/>
                <w:szCs w:val="22"/>
              </w:rPr>
              <w:t xml:space="preserve">își rezervă dreptul de a refuza contractarea unor proiecte care nu îndeplinesc criteriile de verificare a conformității administrative și eligibilității. În acest sens, </w:t>
            </w:r>
            <w:r w:rsidR="006164CA" w:rsidRPr="005402C9">
              <w:rPr>
                <w:i/>
                <w:iCs/>
                <w:sz w:val="22"/>
                <w:szCs w:val="22"/>
              </w:rPr>
              <w:t>MIPE, împreună cu MEAT</w:t>
            </w:r>
            <w:r w:rsidRPr="005402C9">
              <w:rPr>
                <w:i/>
                <w:iCs/>
                <w:sz w:val="22"/>
                <w:szCs w:val="22"/>
              </w:rPr>
              <w:t xml:space="preserve"> va respinge cererea de finanțare de la contractare, oferind posibilitatea solicitanților să depună contestații în conformitate cu prevederile prezentului ghid.</w:t>
            </w:r>
          </w:p>
        </w:tc>
      </w:tr>
    </w:tbl>
    <w:p w14:paraId="1CDC140F" w14:textId="77777777" w:rsidR="00927EC4" w:rsidRPr="005402C9" w:rsidRDefault="00927EC4" w:rsidP="0013489D"/>
    <w:p w14:paraId="1E20C844" w14:textId="0F22143B" w:rsidR="00927EC4" w:rsidRPr="005402C9" w:rsidRDefault="00927EC4" w:rsidP="0013489D">
      <w:pPr>
        <w:spacing w:line="276" w:lineRule="auto"/>
        <w:jc w:val="both"/>
        <w:rPr>
          <w:sz w:val="22"/>
          <w:szCs w:val="22"/>
        </w:rPr>
      </w:pPr>
      <w:r w:rsidRPr="005402C9">
        <w:rPr>
          <w:sz w:val="22"/>
          <w:szCs w:val="22"/>
        </w:rPr>
        <w:t xml:space="preserve">Clauzele specifice aplicabile </w:t>
      </w:r>
      <w:r w:rsidR="00CC66CF" w:rsidRPr="005402C9">
        <w:rPr>
          <w:sz w:val="22"/>
          <w:szCs w:val="22"/>
        </w:rPr>
        <w:t>sub</w:t>
      </w:r>
      <w:r w:rsidRPr="005402C9">
        <w:rPr>
          <w:sz w:val="22"/>
          <w:szCs w:val="22"/>
        </w:rPr>
        <w:t xml:space="preserve">proiectelor contractate în cadrul prezentului apel de proiecte, sunt detaliate în cadrul </w:t>
      </w:r>
      <w:r w:rsidR="00CC66CF" w:rsidRPr="005402C9">
        <w:rPr>
          <w:sz w:val="22"/>
          <w:szCs w:val="22"/>
        </w:rPr>
        <w:t>C</w:t>
      </w:r>
      <w:r w:rsidRPr="005402C9">
        <w:rPr>
          <w:sz w:val="22"/>
          <w:szCs w:val="22"/>
        </w:rPr>
        <w:t>ontract</w:t>
      </w:r>
      <w:r w:rsidR="00CC66CF" w:rsidRPr="005402C9">
        <w:rPr>
          <w:sz w:val="22"/>
          <w:szCs w:val="22"/>
        </w:rPr>
        <w:t>ului</w:t>
      </w:r>
      <w:r w:rsidRPr="005402C9">
        <w:rPr>
          <w:sz w:val="22"/>
          <w:szCs w:val="22"/>
        </w:rPr>
        <w:t xml:space="preserve"> de finanțare, </w:t>
      </w:r>
      <w:r w:rsidRPr="00020233">
        <w:rPr>
          <w:sz w:val="22"/>
          <w:szCs w:val="22"/>
        </w:rPr>
        <w:t xml:space="preserve">Anexa </w:t>
      </w:r>
      <w:r w:rsidR="00020233">
        <w:rPr>
          <w:sz w:val="22"/>
          <w:szCs w:val="22"/>
        </w:rPr>
        <w:t>4</w:t>
      </w:r>
      <w:r w:rsidRPr="005402C9">
        <w:rPr>
          <w:sz w:val="22"/>
          <w:szCs w:val="22"/>
        </w:rPr>
        <w:t xml:space="preserve"> la prezentul ghid.</w:t>
      </w:r>
    </w:p>
    <w:p w14:paraId="619B63F9" w14:textId="77777777" w:rsidR="00211553" w:rsidRPr="005402C9" w:rsidRDefault="00211553" w:rsidP="00927EC4">
      <w:pPr>
        <w:rPr>
          <w:b/>
          <w:sz w:val="22"/>
          <w:szCs w:val="22"/>
        </w:rPr>
      </w:pPr>
    </w:p>
    <w:p w14:paraId="3D490A9C" w14:textId="4B19FEEB" w:rsidR="00927EC4" w:rsidRPr="005402C9" w:rsidRDefault="00211553" w:rsidP="0013489D">
      <w:pPr>
        <w:pStyle w:val="Heading2"/>
        <w:rPr>
          <w:sz w:val="22"/>
          <w:szCs w:val="22"/>
        </w:rPr>
      </w:pPr>
      <w:bookmarkStart w:id="88" w:name="_Toc150159473"/>
      <w:r w:rsidRPr="005402C9">
        <w:rPr>
          <w:bCs/>
          <w:sz w:val="22"/>
          <w:szCs w:val="22"/>
        </w:rPr>
        <w:t>7.2</w:t>
      </w:r>
      <w:r w:rsidRPr="005402C9">
        <w:rPr>
          <w:b w:val="0"/>
          <w:sz w:val="22"/>
          <w:szCs w:val="22"/>
        </w:rPr>
        <w:t xml:space="preserve"> </w:t>
      </w:r>
      <w:r w:rsidRPr="005402C9">
        <w:rPr>
          <w:sz w:val="22"/>
          <w:szCs w:val="22"/>
        </w:rPr>
        <w:t>Reguli privind implementarea și monitorizarea proiectelor</w:t>
      </w:r>
      <w:bookmarkEnd w:id="88"/>
    </w:p>
    <w:p w14:paraId="1A096FE1" w14:textId="00591575" w:rsidR="00211553" w:rsidRPr="005402C9" w:rsidRDefault="00211553" w:rsidP="0013489D">
      <w:pPr>
        <w:jc w:val="both"/>
        <w:rPr>
          <w:sz w:val="22"/>
          <w:szCs w:val="22"/>
        </w:rPr>
      </w:pPr>
      <w:r w:rsidRPr="005402C9">
        <w:rPr>
          <w:sz w:val="22"/>
          <w:szCs w:val="22"/>
        </w:rPr>
        <w:t xml:space="preserve">Monitorizarea </w:t>
      </w:r>
      <w:r w:rsidR="00EA0543">
        <w:rPr>
          <w:sz w:val="22"/>
          <w:szCs w:val="22"/>
        </w:rPr>
        <w:t>sub</w:t>
      </w:r>
      <w:r w:rsidRPr="005402C9">
        <w:rPr>
          <w:sz w:val="22"/>
          <w:szCs w:val="22"/>
        </w:rPr>
        <w:t xml:space="preserve">proiectelor și comunicarea cu beneficiarii pentru implementarea </w:t>
      </w:r>
      <w:r w:rsidR="00EA0543">
        <w:rPr>
          <w:sz w:val="22"/>
          <w:szCs w:val="22"/>
        </w:rPr>
        <w:t>sub</w:t>
      </w:r>
      <w:r w:rsidRPr="005402C9">
        <w:rPr>
          <w:sz w:val="22"/>
          <w:szCs w:val="22"/>
        </w:rPr>
        <w:t>proiectelor vor fi realizate de către MEAT și MIPE prin intermediul platformei proiecte.pnrr.gov.ro.</w:t>
      </w:r>
    </w:p>
    <w:p w14:paraId="040A88C0" w14:textId="77777777" w:rsidR="00D40551" w:rsidRDefault="004B163E" w:rsidP="004B163E">
      <w:pPr>
        <w:spacing w:line="276" w:lineRule="auto"/>
        <w:jc w:val="both"/>
        <w:rPr>
          <w:sz w:val="22"/>
          <w:szCs w:val="22"/>
        </w:rPr>
      </w:pPr>
      <w:r w:rsidRPr="005402C9">
        <w:rPr>
          <w:b/>
          <w:bCs/>
          <w:sz w:val="22"/>
          <w:szCs w:val="22"/>
        </w:rPr>
        <w:t>Monitorizarea tehnică:</w:t>
      </w:r>
      <w:r w:rsidRPr="005402C9">
        <w:rPr>
          <w:sz w:val="22"/>
          <w:szCs w:val="22"/>
        </w:rPr>
        <w:t xml:space="preserve"> Beneficiarul are obligația de raportare a progresului </w:t>
      </w:r>
      <w:r w:rsidR="00E453EA">
        <w:rPr>
          <w:sz w:val="22"/>
          <w:szCs w:val="22"/>
        </w:rPr>
        <w:t>sub</w:t>
      </w:r>
      <w:r w:rsidRPr="005402C9">
        <w:rPr>
          <w:sz w:val="22"/>
          <w:szCs w:val="22"/>
        </w:rPr>
        <w:t xml:space="preserve">proiectului în </w:t>
      </w:r>
      <w:r w:rsidRPr="005402C9">
        <w:rPr>
          <w:b/>
          <w:bCs/>
          <w:sz w:val="22"/>
          <w:szCs w:val="22"/>
        </w:rPr>
        <w:t>perioada de implementare</w:t>
      </w:r>
      <w:r w:rsidRPr="005402C9">
        <w:rPr>
          <w:sz w:val="22"/>
          <w:szCs w:val="22"/>
        </w:rPr>
        <w:t xml:space="preserve"> și va transmite date și rapoarte de progres către Ministerul Economiei, Antreprenoriatului și Turismului, </w:t>
      </w:r>
      <w:r w:rsidRPr="005402C9">
        <w:rPr>
          <w:color w:val="000000"/>
          <w:sz w:val="22"/>
          <w:szCs w:val="22"/>
        </w:rPr>
        <w:t xml:space="preserve">odată cu cererile de transfer, care să conțină execuția activităților </w:t>
      </w:r>
      <w:r w:rsidR="00C411A7">
        <w:rPr>
          <w:color w:val="000000"/>
          <w:sz w:val="22"/>
          <w:szCs w:val="22"/>
        </w:rPr>
        <w:t>sub</w:t>
      </w:r>
      <w:r w:rsidRPr="005402C9">
        <w:rPr>
          <w:color w:val="000000"/>
          <w:sz w:val="22"/>
          <w:szCs w:val="22"/>
        </w:rPr>
        <w:t>proiectului realizată în perioada de raportare, evidențiind gradul de realizare a subproiectului</w:t>
      </w:r>
      <w:r w:rsidR="001C6447" w:rsidRPr="005402C9">
        <w:rPr>
          <w:color w:val="000000"/>
          <w:sz w:val="22"/>
          <w:szCs w:val="22"/>
        </w:rPr>
        <w:t>,</w:t>
      </w:r>
      <w:r w:rsidR="00EA0543">
        <w:rPr>
          <w:color w:val="000000"/>
          <w:sz w:val="22"/>
          <w:szCs w:val="22"/>
        </w:rPr>
        <w:t xml:space="preserve"> contribuția la indicatorii asumați,</w:t>
      </w:r>
      <w:r w:rsidR="001C6447" w:rsidRPr="005402C9">
        <w:rPr>
          <w:color w:val="000000"/>
          <w:sz w:val="22"/>
          <w:szCs w:val="22"/>
        </w:rPr>
        <w:t xml:space="preserve"> precum și </w:t>
      </w:r>
      <w:r w:rsidR="001C6447" w:rsidRPr="005402C9">
        <w:rPr>
          <w:sz w:val="22"/>
          <w:szCs w:val="22"/>
        </w:rPr>
        <w:t>conformarea cu principiul  DNSH „a nu prejudicia semnificativ”.</w:t>
      </w:r>
      <w:r w:rsidR="00D40551">
        <w:rPr>
          <w:sz w:val="22"/>
          <w:szCs w:val="22"/>
        </w:rPr>
        <w:t xml:space="preserve"> </w:t>
      </w:r>
    </w:p>
    <w:p w14:paraId="7A9D6469" w14:textId="59A3D2D9" w:rsidR="0007643A" w:rsidRPr="005402C9" w:rsidRDefault="00D40551" w:rsidP="004B163E">
      <w:pPr>
        <w:spacing w:line="276" w:lineRule="auto"/>
        <w:jc w:val="both"/>
        <w:rPr>
          <w:color w:val="000000"/>
        </w:rPr>
      </w:pPr>
      <w:r>
        <w:rPr>
          <w:sz w:val="22"/>
          <w:szCs w:val="22"/>
        </w:rPr>
        <w:t xml:space="preserve">Rapoartele de progres sunt </w:t>
      </w:r>
      <w:r w:rsidRPr="005402C9">
        <w:rPr>
          <w:color w:val="000000"/>
          <w:sz w:val="22"/>
          <w:szCs w:val="22"/>
        </w:rPr>
        <w:t>avizat</w:t>
      </w:r>
      <w:r>
        <w:rPr>
          <w:color w:val="000000"/>
          <w:sz w:val="22"/>
          <w:szCs w:val="22"/>
        </w:rPr>
        <w:t>e</w:t>
      </w:r>
      <w:r w:rsidRPr="005402C9">
        <w:rPr>
          <w:color w:val="000000"/>
          <w:sz w:val="22"/>
          <w:szCs w:val="22"/>
        </w:rPr>
        <w:t xml:space="preserve"> de participantul direct potrivit acordului de colaborare încheiat cu acesta</w:t>
      </w:r>
      <w:r>
        <w:rPr>
          <w:color w:val="000000"/>
          <w:sz w:val="22"/>
          <w:szCs w:val="22"/>
        </w:rPr>
        <w:t xml:space="preserve">. </w:t>
      </w:r>
      <w:r w:rsidR="0007643A">
        <w:rPr>
          <w:sz w:val="22"/>
          <w:szCs w:val="22"/>
        </w:rPr>
        <w:t xml:space="preserve">În cazul în care </w:t>
      </w:r>
      <w:r>
        <w:rPr>
          <w:sz w:val="22"/>
          <w:szCs w:val="22"/>
        </w:rPr>
        <w:t>raportul de progres</w:t>
      </w:r>
      <w:r w:rsidR="0007643A" w:rsidRPr="0007643A">
        <w:rPr>
          <w:sz w:val="22"/>
          <w:szCs w:val="22"/>
        </w:rPr>
        <w:t xml:space="preserve"> </w:t>
      </w:r>
      <w:r w:rsidR="0007643A">
        <w:rPr>
          <w:sz w:val="22"/>
          <w:szCs w:val="22"/>
        </w:rPr>
        <w:t xml:space="preserve">nu este </w:t>
      </w:r>
      <w:r w:rsidR="0007643A" w:rsidRPr="0007643A">
        <w:rPr>
          <w:sz w:val="22"/>
          <w:szCs w:val="22"/>
        </w:rPr>
        <w:t>avizat de participantul direct potrivit acordului de colaborare încheiat cu acesta</w:t>
      </w:r>
      <w:r w:rsidR="0007643A">
        <w:rPr>
          <w:sz w:val="22"/>
          <w:szCs w:val="22"/>
        </w:rPr>
        <w:t>, cererea de transfer nu poate fi procesată.</w:t>
      </w:r>
    </w:p>
    <w:p w14:paraId="7BA70BC7" w14:textId="611C814E" w:rsidR="003A6A96" w:rsidRDefault="003A6A96" w:rsidP="0013489D">
      <w:pPr>
        <w:spacing w:line="276" w:lineRule="auto"/>
        <w:jc w:val="both"/>
        <w:rPr>
          <w:sz w:val="22"/>
          <w:szCs w:val="22"/>
        </w:rPr>
      </w:pPr>
      <w:r w:rsidRPr="009D6579">
        <w:rPr>
          <w:sz w:val="22"/>
          <w:szCs w:val="22"/>
        </w:rPr>
        <w:t>La solicitarea MIPE, participanții vor actualiza bianual datele cuprinse la Anexa 6 din</w:t>
      </w:r>
      <w:r w:rsidRPr="003A6A96">
        <w:rPr>
          <w:sz w:val="22"/>
          <w:szCs w:val="22"/>
        </w:rPr>
        <w:t xml:space="preserve"> prezentul Ghid, la data de 30 iunie, respectiv la data de 31 decembrie.</w:t>
      </w:r>
    </w:p>
    <w:p w14:paraId="59987CEB" w14:textId="5510AC19" w:rsidR="00211553" w:rsidRPr="005402C9" w:rsidRDefault="00211553" w:rsidP="0013489D">
      <w:pPr>
        <w:spacing w:line="276" w:lineRule="auto"/>
        <w:jc w:val="both"/>
        <w:rPr>
          <w:color w:val="000000"/>
          <w:sz w:val="22"/>
          <w:szCs w:val="22"/>
        </w:rPr>
      </w:pPr>
      <w:r w:rsidRPr="005402C9">
        <w:rPr>
          <w:sz w:val="22"/>
          <w:szCs w:val="22"/>
        </w:rPr>
        <w:t xml:space="preserve">Ori de câte ori este necesar, la solicitarea MIPE și / sau MEAT, beneficiarul are obligația </w:t>
      </w:r>
      <w:r w:rsidRPr="005402C9">
        <w:rPr>
          <w:color w:val="000000"/>
          <w:sz w:val="22"/>
          <w:szCs w:val="22"/>
        </w:rPr>
        <w:t xml:space="preserve">transmiterii de informații privind progresul </w:t>
      </w:r>
      <w:r w:rsidR="00EA0543">
        <w:rPr>
          <w:color w:val="000000"/>
          <w:sz w:val="22"/>
          <w:szCs w:val="22"/>
        </w:rPr>
        <w:t>sub</w:t>
      </w:r>
      <w:r w:rsidRPr="005402C9">
        <w:rPr>
          <w:color w:val="000000"/>
          <w:sz w:val="22"/>
          <w:szCs w:val="22"/>
        </w:rPr>
        <w:t>proiectului</w:t>
      </w:r>
      <w:r w:rsidR="00FE7261">
        <w:rPr>
          <w:color w:val="000000"/>
          <w:sz w:val="22"/>
          <w:szCs w:val="22"/>
        </w:rPr>
        <w:t xml:space="preserve">, asigurând </w:t>
      </w:r>
      <w:r w:rsidR="00C34329">
        <w:rPr>
          <w:color w:val="000000"/>
          <w:sz w:val="22"/>
          <w:szCs w:val="22"/>
        </w:rPr>
        <w:t xml:space="preserve">avizul asupra informațiilor transmise din partea </w:t>
      </w:r>
      <w:r w:rsidR="00FE7261">
        <w:rPr>
          <w:color w:val="000000"/>
          <w:sz w:val="22"/>
          <w:szCs w:val="22"/>
        </w:rPr>
        <w:t>participantului direct cu care are un acord de colaborare.</w:t>
      </w:r>
    </w:p>
    <w:p w14:paraId="30F1BC3C" w14:textId="2FD28A2F" w:rsidR="004F7D3A" w:rsidRPr="005402C9" w:rsidRDefault="004F7D3A" w:rsidP="0013489D">
      <w:pPr>
        <w:spacing w:line="276" w:lineRule="auto"/>
        <w:jc w:val="both"/>
        <w:rPr>
          <w:color w:val="000000"/>
          <w:sz w:val="22"/>
          <w:szCs w:val="22"/>
        </w:rPr>
      </w:pPr>
      <w:r w:rsidRPr="005402C9">
        <w:rPr>
          <w:color w:val="000000"/>
          <w:sz w:val="22"/>
          <w:szCs w:val="22"/>
        </w:rPr>
        <w:t xml:space="preserve">În </w:t>
      </w:r>
      <w:r w:rsidRPr="005402C9">
        <w:rPr>
          <w:b/>
          <w:bCs/>
          <w:color w:val="000000"/>
          <w:sz w:val="22"/>
          <w:szCs w:val="22"/>
        </w:rPr>
        <w:t>perioada de sustenabilitate</w:t>
      </w:r>
      <w:r w:rsidRPr="005402C9">
        <w:rPr>
          <w:color w:val="000000"/>
          <w:sz w:val="22"/>
          <w:szCs w:val="22"/>
        </w:rPr>
        <w:t xml:space="preserve">, beneficiarul transmite </w:t>
      </w:r>
      <w:r w:rsidR="000C6AD9" w:rsidRPr="005402C9">
        <w:rPr>
          <w:color w:val="000000"/>
          <w:sz w:val="22"/>
          <w:szCs w:val="22"/>
        </w:rPr>
        <w:t xml:space="preserve">anual </w:t>
      </w:r>
      <w:r w:rsidRPr="005402C9">
        <w:rPr>
          <w:color w:val="000000"/>
          <w:sz w:val="22"/>
          <w:szCs w:val="22"/>
        </w:rPr>
        <w:t>către Ministerul Economiei, Antreprenoriatului și Turismului, până la data de 15 martie a anului următor anului pentru care se face raportarea</w:t>
      </w:r>
      <w:r w:rsidR="004A4D42" w:rsidRPr="005402C9">
        <w:rPr>
          <w:color w:val="000000"/>
          <w:sz w:val="22"/>
          <w:szCs w:val="22"/>
        </w:rPr>
        <w:t xml:space="preserve">, un raport de sustenabilitate </w:t>
      </w:r>
      <w:r w:rsidR="00A432C5">
        <w:rPr>
          <w:color w:val="000000"/>
          <w:sz w:val="22"/>
          <w:szCs w:val="22"/>
        </w:rPr>
        <w:t>prin intermediul căruia</w:t>
      </w:r>
      <w:r w:rsidR="000C6AD9">
        <w:rPr>
          <w:color w:val="000000"/>
          <w:sz w:val="22"/>
          <w:szCs w:val="22"/>
        </w:rPr>
        <w:t xml:space="preserve"> </w:t>
      </w:r>
      <w:r w:rsidR="00A432C5">
        <w:rPr>
          <w:color w:val="000000"/>
          <w:sz w:val="22"/>
          <w:szCs w:val="22"/>
        </w:rPr>
        <w:t>este prezentat</w:t>
      </w:r>
      <w:r w:rsidR="000C6AD9">
        <w:rPr>
          <w:color w:val="000000"/>
          <w:sz w:val="22"/>
          <w:szCs w:val="22"/>
        </w:rPr>
        <w:t xml:space="preserve"> gradul de îndeplinire a indicatorilor suplimentari de rezultat ai subproiectului. </w:t>
      </w:r>
    </w:p>
    <w:p w14:paraId="44CF0717" w14:textId="1269D6C7" w:rsidR="004F7D3A" w:rsidRPr="005402C9" w:rsidRDefault="004F7D3A" w:rsidP="0013489D">
      <w:pPr>
        <w:spacing w:line="276" w:lineRule="auto"/>
        <w:jc w:val="both"/>
        <w:rPr>
          <w:sz w:val="22"/>
          <w:szCs w:val="22"/>
        </w:rPr>
      </w:pPr>
      <w:r w:rsidRPr="005402C9">
        <w:rPr>
          <w:color w:val="000000"/>
          <w:sz w:val="22"/>
          <w:szCs w:val="22"/>
        </w:rPr>
        <w:t>Beneficiarul</w:t>
      </w:r>
      <w:r w:rsidRPr="005402C9">
        <w:rPr>
          <w:sz w:val="22"/>
          <w:szCs w:val="22"/>
        </w:rPr>
        <w:t xml:space="preserve"> are obligația de a permite desfășurarea acțiunilor de monitorizare și control ale MIPE – Coordonator Național, respectiv MIPE – Coordonator de reforme și/sau investiții, ale Ministerului Economiei, Antreprenoriatului și Turismului</w:t>
      </w:r>
      <w:r w:rsidR="00C3251F">
        <w:rPr>
          <w:sz w:val="22"/>
          <w:szCs w:val="22"/>
        </w:rPr>
        <w:t xml:space="preserve"> – Agenție de implementare</w:t>
      </w:r>
      <w:r w:rsidRPr="005402C9">
        <w:rPr>
          <w:sz w:val="22"/>
          <w:szCs w:val="22"/>
        </w:rPr>
        <w:t xml:space="preserve">, cât și oricăror autorități naționale și europene abilitate, precum și obligația de a le pune la dispoziție toate documentele solicitate de acestea care sunt în legătură cu </w:t>
      </w:r>
      <w:r w:rsidR="004A4D42" w:rsidRPr="005402C9">
        <w:rPr>
          <w:sz w:val="22"/>
          <w:szCs w:val="22"/>
        </w:rPr>
        <w:t>sub</w:t>
      </w:r>
      <w:r w:rsidRPr="005402C9">
        <w:rPr>
          <w:sz w:val="22"/>
          <w:szCs w:val="22"/>
        </w:rPr>
        <w:t>proiectul.</w:t>
      </w:r>
    </w:p>
    <w:p w14:paraId="554FC729" w14:textId="77777777" w:rsidR="004F7D3A" w:rsidRPr="005402C9" w:rsidRDefault="004F7D3A" w:rsidP="004F7D3A">
      <w:pPr>
        <w:spacing w:before="40" w:after="40" w:line="276" w:lineRule="auto"/>
        <w:jc w:val="both"/>
        <w:rPr>
          <w:sz w:val="22"/>
          <w:szCs w:val="22"/>
        </w:rPr>
      </w:pPr>
      <w:r w:rsidRPr="005402C9">
        <w:rPr>
          <w:sz w:val="22"/>
          <w:szCs w:val="22"/>
        </w:rPr>
        <w:t xml:space="preserve">Beneficiarul răspunde în termenul stabilit de Consiliul Concurenței, nu mai mult de 5 zile lucrătoare și în termenul stabilit de Ministerul Investițiilor și Proiectelor Europene/Ministerul Economiei, Antreprenoriatului și Turismului, la orice solicitare de informație cu privire la ajutorul de stat primit. </w:t>
      </w:r>
    </w:p>
    <w:p w14:paraId="70984682" w14:textId="77777777" w:rsidR="004F7D3A" w:rsidRPr="005402C9" w:rsidRDefault="004F7D3A" w:rsidP="004F7D3A">
      <w:pPr>
        <w:spacing w:before="40" w:after="40" w:line="276" w:lineRule="auto"/>
        <w:jc w:val="both"/>
        <w:rPr>
          <w:sz w:val="22"/>
          <w:szCs w:val="22"/>
        </w:rPr>
      </w:pPr>
      <w:r w:rsidRPr="005402C9">
        <w:rPr>
          <w:sz w:val="22"/>
          <w:szCs w:val="22"/>
        </w:rPr>
        <w:t>Beneficiarul se angajează să păstreze, timp de cel puțin 10 ani de la data primirii ultimei alocări specifice, toate documentele privitoare la ajutorul de stat de care a beneficiat în cadrul acestui apel de proiecte.</w:t>
      </w:r>
    </w:p>
    <w:p w14:paraId="5C215F29" w14:textId="77777777" w:rsidR="004B163E" w:rsidRPr="005402C9" w:rsidRDefault="004B163E" w:rsidP="00211553">
      <w:pPr>
        <w:jc w:val="both"/>
        <w:rPr>
          <w:sz w:val="22"/>
          <w:szCs w:val="22"/>
        </w:rPr>
      </w:pPr>
    </w:p>
    <w:p w14:paraId="5201975B" w14:textId="51133C05" w:rsidR="00C33EF7" w:rsidRPr="005402C9" w:rsidRDefault="004B163E" w:rsidP="00C33EF7">
      <w:pPr>
        <w:spacing w:line="276" w:lineRule="auto"/>
        <w:jc w:val="both"/>
        <w:rPr>
          <w:sz w:val="22"/>
          <w:szCs w:val="22"/>
        </w:rPr>
      </w:pPr>
      <w:r w:rsidRPr="005402C9">
        <w:rPr>
          <w:b/>
          <w:bCs/>
          <w:sz w:val="22"/>
          <w:szCs w:val="22"/>
        </w:rPr>
        <w:lastRenderedPageBreak/>
        <w:t>Monitorizare financiară</w:t>
      </w:r>
      <w:r w:rsidRPr="005402C9">
        <w:rPr>
          <w:sz w:val="22"/>
          <w:szCs w:val="22"/>
        </w:rPr>
        <w:t xml:space="preserve">: </w:t>
      </w:r>
      <w:r w:rsidR="00C33EF7" w:rsidRPr="005402C9">
        <w:rPr>
          <w:sz w:val="22"/>
          <w:szCs w:val="22"/>
        </w:rPr>
        <w:t xml:space="preserve">Beneficiarul are obligația să țină o evidență contabilă distinctă pentru veniturile și cheltuielile aferente implementării </w:t>
      </w:r>
      <w:r w:rsidR="006006B5" w:rsidRPr="005402C9">
        <w:rPr>
          <w:sz w:val="22"/>
          <w:szCs w:val="22"/>
        </w:rPr>
        <w:t>sub</w:t>
      </w:r>
      <w:r w:rsidR="00C33EF7" w:rsidRPr="005402C9">
        <w:rPr>
          <w:sz w:val="22"/>
          <w:szCs w:val="22"/>
        </w:rPr>
        <w:t>proiectului,</w:t>
      </w:r>
      <w:r w:rsidR="006006B5" w:rsidRPr="005402C9">
        <w:rPr>
          <w:sz w:val="22"/>
          <w:szCs w:val="22"/>
        </w:rPr>
        <w:t xml:space="preserve"> respectiv fiecărui subproiect, dacă este cazul, </w:t>
      </w:r>
      <w:r w:rsidR="00C33EF7" w:rsidRPr="005402C9">
        <w:rPr>
          <w:sz w:val="22"/>
          <w:szCs w:val="22"/>
        </w:rPr>
        <w:t>folosind conturi analitice distinct</w:t>
      </w:r>
      <w:r w:rsidR="006006B5" w:rsidRPr="005402C9">
        <w:rPr>
          <w:sz w:val="22"/>
          <w:szCs w:val="22"/>
        </w:rPr>
        <w:t>e</w:t>
      </w:r>
      <w:r w:rsidR="00C33EF7" w:rsidRPr="005402C9">
        <w:rPr>
          <w:sz w:val="22"/>
          <w:szCs w:val="22"/>
        </w:rPr>
        <w:t>.</w:t>
      </w:r>
    </w:p>
    <w:p w14:paraId="3908C779" w14:textId="7C490275" w:rsidR="00F066E3" w:rsidRPr="005402C9" w:rsidRDefault="00F066E3" w:rsidP="00F066E3">
      <w:pPr>
        <w:spacing w:line="276" w:lineRule="auto"/>
        <w:jc w:val="both"/>
        <w:rPr>
          <w:sz w:val="22"/>
          <w:szCs w:val="22"/>
        </w:rPr>
      </w:pPr>
      <w:r w:rsidRPr="005402C9">
        <w:rPr>
          <w:sz w:val="22"/>
          <w:szCs w:val="22"/>
        </w:rPr>
        <w:t>În perioada de implementare a proiectului, beneficiarul este îndreptățit pentru plată în conformitate cu mecanismul cererilor de transfer prevăzut prin Hotărârea Guvernului nr. 209/2022, cu modificările și completările ulterioare, în baza calendarului estimativ privind cererile de transfer, anexă la contractul de finanțare. Calendarul estimativ privind cererile de transfer poate include sume estimate a fi solicitate, după cum urmează:</w:t>
      </w:r>
    </w:p>
    <w:p w14:paraId="20D93FFB" w14:textId="7668B9BD" w:rsidR="00F066E3" w:rsidRPr="005402C9" w:rsidRDefault="00F066E3">
      <w:pPr>
        <w:pStyle w:val="ListParagraph"/>
        <w:numPr>
          <w:ilvl w:val="0"/>
          <w:numId w:val="21"/>
        </w:numPr>
        <w:spacing w:line="276" w:lineRule="auto"/>
        <w:jc w:val="both"/>
        <w:rPr>
          <w:rFonts w:ascii="Trebuchet MS" w:hAnsi="Trebuchet MS"/>
          <w:lang w:val="ro-RO"/>
        </w:rPr>
      </w:pPr>
      <w:r w:rsidRPr="005402C9">
        <w:rPr>
          <w:rFonts w:ascii="Trebuchet MS" w:hAnsi="Trebuchet MS"/>
          <w:lang w:val="ro-RO"/>
        </w:rPr>
        <w:t>Cheltuieli eligibile plătite înainte de semnarea Contractului de finanțare, dar nu mai devreme de</w:t>
      </w:r>
      <w:r w:rsidR="00503FF5" w:rsidRPr="005402C9">
        <w:rPr>
          <w:rFonts w:ascii="Trebuchet MS" w:hAnsi="Trebuchet MS"/>
          <w:lang w:val="ro-RO"/>
        </w:rPr>
        <w:t xml:space="preserve"> data depunerii cererii </w:t>
      </w:r>
      <w:r w:rsidR="00A432C5">
        <w:rPr>
          <w:rFonts w:ascii="Trebuchet MS" w:hAnsi="Trebuchet MS"/>
          <w:lang w:val="ro-RO"/>
        </w:rPr>
        <w:t>de finanțare</w:t>
      </w:r>
      <w:r w:rsidR="00F16ED0" w:rsidRPr="005402C9">
        <w:rPr>
          <w:rFonts w:ascii="Trebuchet MS" w:hAnsi="Trebuchet MS"/>
          <w:lang w:val="ro-RO"/>
        </w:rPr>
        <w:t xml:space="preserve"> </w:t>
      </w:r>
      <w:r w:rsidRPr="005402C9">
        <w:rPr>
          <w:rFonts w:ascii="Trebuchet MS" w:hAnsi="Trebuchet MS"/>
          <w:lang w:val="ro-RO"/>
        </w:rPr>
        <w:t>– acestea fac obiectul unei cereri de transfer distincte, care va fi depusă în termen de 15 zile lucrătoare de la data semnării contractului de finanțare;</w:t>
      </w:r>
    </w:p>
    <w:p w14:paraId="49783D8D" w14:textId="715277AC" w:rsidR="00F066E3" w:rsidRPr="005402C9" w:rsidRDefault="00F066E3">
      <w:pPr>
        <w:pStyle w:val="ListParagraph"/>
        <w:numPr>
          <w:ilvl w:val="0"/>
          <w:numId w:val="21"/>
        </w:numPr>
        <w:spacing w:line="276" w:lineRule="auto"/>
        <w:jc w:val="both"/>
        <w:rPr>
          <w:rFonts w:ascii="Trebuchet MS" w:hAnsi="Trebuchet MS"/>
          <w:lang w:val="ro-RO"/>
        </w:rPr>
      </w:pPr>
      <w:r w:rsidRPr="005402C9">
        <w:rPr>
          <w:rFonts w:ascii="Trebuchet MS" w:hAnsi="Trebuchet MS"/>
          <w:lang w:val="ro-RO"/>
        </w:rPr>
        <w:t xml:space="preserve">Solicitări de acordare de avans, de maxim 90% din asistența financiară nerambursabilă pentru anul pentru care se solicită plățile în avans, pentru realizarea cheltuielilor eligibile aferente activităților subproiectului; </w:t>
      </w:r>
    </w:p>
    <w:p w14:paraId="24DE1AFF" w14:textId="2E82DD22" w:rsidR="00F066E3" w:rsidRPr="005402C9" w:rsidRDefault="00F066E3">
      <w:pPr>
        <w:pStyle w:val="ListParagraph"/>
        <w:numPr>
          <w:ilvl w:val="0"/>
          <w:numId w:val="21"/>
        </w:numPr>
        <w:spacing w:line="276" w:lineRule="auto"/>
        <w:jc w:val="both"/>
        <w:rPr>
          <w:rFonts w:ascii="Trebuchet MS" w:hAnsi="Trebuchet MS"/>
          <w:lang w:val="ro-RO"/>
        </w:rPr>
      </w:pPr>
      <w:r w:rsidRPr="005402C9">
        <w:rPr>
          <w:rFonts w:ascii="Trebuchet MS" w:hAnsi="Trebuchet MS"/>
          <w:lang w:val="ro-RO"/>
        </w:rPr>
        <w:t>Cheltuielile eligibile aferente activităților subproiectului efectuate după semnarea contractului de finanțare.</w:t>
      </w:r>
    </w:p>
    <w:p w14:paraId="77BE7B21" w14:textId="77777777" w:rsidR="00F066E3" w:rsidRPr="005402C9" w:rsidRDefault="00F066E3" w:rsidP="00F066E3">
      <w:pPr>
        <w:spacing w:line="276" w:lineRule="auto"/>
        <w:jc w:val="both"/>
        <w:rPr>
          <w:sz w:val="22"/>
          <w:szCs w:val="22"/>
        </w:rPr>
      </w:pPr>
      <w:r w:rsidRPr="005402C9">
        <w:rPr>
          <w:sz w:val="22"/>
          <w:szCs w:val="22"/>
        </w:rPr>
        <w:t xml:space="preserve">În situația în care beneficiarii solicită plăți în avans, părțile contractante vor încheia Convenția de avans - </w:t>
      </w:r>
      <w:r w:rsidRPr="00020233">
        <w:rPr>
          <w:sz w:val="22"/>
          <w:szCs w:val="22"/>
        </w:rPr>
        <w:t>Anexa 5 la</w:t>
      </w:r>
      <w:r w:rsidRPr="005402C9">
        <w:rPr>
          <w:sz w:val="22"/>
          <w:szCs w:val="22"/>
        </w:rPr>
        <w:t xml:space="preserve"> prezentul ghid.</w:t>
      </w:r>
    </w:p>
    <w:p w14:paraId="6186A0AA" w14:textId="7D8E84EC" w:rsidR="00F066E3" w:rsidRPr="005402C9" w:rsidRDefault="00F066E3" w:rsidP="00F066E3">
      <w:pPr>
        <w:spacing w:line="276" w:lineRule="auto"/>
        <w:jc w:val="both"/>
        <w:rPr>
          <w:sz w:val="22"/>
          <w:szCs w:val="22"/>
        </w:rPr>
      </w:pPr>
      <w:r w:rsidRPr="005402C9">
        <w:rPr>
          <w:sz w:val="22"/>
          <w:szCs w:val="22"/>
        </w:rPr>
        <w:t xml:space="preserve">Beneficiarul poate primi avans numai după constituirea unei garanții de returnare a avansului, </w:t>
      </w:r>
      <w:r w:rsidRPr="00020233">
        <w:rPr>
          <w:sz w:val="22"/>
          <w:szCs w:val="22"/>
        </w:rPr>
        <w:t>printr-o scrisoare de garanție,</w:t>
      </w:r>
      <w:r w:rsidRPr="005402C9">
        <w:rPr>
          <w:sz w:val="22"/>
          <w:szCs w:val="22"/>
        </w:rPr>
        <w:t xml:space="preserve"> emisă în condițiile legii de către o societate bancară sau de către o societate de asigurări</w:t>
      </w:r>
      <w:r w:rsidR="00C3251F">
        <w:rPr>
          <w:sz w:val="22"/>
          <w:szCs w:val="22"/>
        </w:rPr>
        <w:t xml:space="preserve"> aflată sub supravegherea Autorității de Supraveghere Financiară</w:t>
      </w:r>
      <w:r w:rsidR="00C3251F">
        <w:rPr>
          <w:rStyle w:val="FootnoteReference"/>
          <w:sz w:val="22"/>
          <w:szCs w:val="22"/>
        </w:rPr>
        <w:footnoteReference w:id="2"/>
      </w:r>
      <w:r w:rsidRPr="005402C9">
        <w:rPr>
          <w:sz w:val="22"/>
          <w:szCs w:val="22"/>
        </w:rPr>
        <w:t xml:space="preserve">, în cuantumul sumelor solicitate ca avans, în conformitate cu HG nr. 264/2003, republicată, cu modificările și completările ulterioare. Garanția este irevocabilă, iar scrisoarea de garanție prevede că plata garanției se va executa necondiționat, respectiv la prima cerere a beneficiarului garanției, respectiv MIPE, pe baza declarației acestuia cu privire la culpa persoanei garantate. Durata de valabilitate a scrisorii de garanție trebuie să acopere perioada pentru care s-a primit avansul la care se adaugă o perioadă de 90 de zile, necesară în vederea autorizării Declarației de utilizare a cererii de transfer de către MIPE. </w:t>
      </w:r>
    </w:p>
    <w:p w14:paraId="04CE8762" w14:textId="77777777" w:rsidR="00F066E3" w:rsidRPr="005402C9" w:rsidRDefault="00F066E3" w:rsidP="00F066E3">
      <w:pPr>
        <w:spacing w:line="276" w:lineRule="auto"/>
        <w:jc w:val="both"/>
        <w:rPr>
          <w:sz w:val="22"/>
          <w:szCs w:val="22"/>
        </w:rPr>
      </w:pPr>
      <w:r w:rsidRPr="005402C9">
        <w:rPr>
          <w:sz w:val="22"/>
          <w:szCs w:val="22"/>
        </w:rPr>
        <w:t>Acordarea unei noi tranșe de avans se poate efectua numai după ce sumele plătite în avans, acordate anterior, au fost justificate integral, prin autorizarea de către MIPE a Declarațiilor de utilizare a cererii de transfer aferente avansului plătit anterior. Sumele reprezentând plăți în avans, neautorizate prin Declarațiile de utilizare a cererii de transfer aferente avansului, în condiţiile prevederilor contractuale, vor fi restituite de beneficiar în termen de 10 zile lucrătoare de la notificarea privind autorizare a ultimei Declarații de utilizare a cererii de transfer transmisă de MIPE.</w:t>
      </w:r>
    </w:p>
    <w:p w14:paraId="022C641E" w14:textId="77777777" w:rsidR="00F066E3" w:rsidRPr="005402C9" w:rsidRDefault="00F066E3" w:rsidP="00F066E3">
      <w:pPr>
        <w:spacing w:line="276" w:lineRule="auto"/>
        <w:jc w:val="both"/>
        <w:rPr>
          <w:sz w:val="22"/>
          <w:szCs w:val="22"/>
        </w:rPr>
      </w:pPr>
      <w:r w:rsidRPr="005402C9">
        <w:rPr>
          <w:sz w:val="22"/>
          <w:szCs w:val="22"/>
        </w:rPr>
        <w:t xml:space="preserve">Cererea de transfer distinctă pentru cheltuieli efectuate înainte de semnarea contractului de finanțare/Declarația de utilizare a cererii de transfer, după caz, va fi însoțită de documente justificative care să confirme utilizarea sumelor primite în cererea de transfer conform destinației aprobate de MEAT, după cum urmează, fără a se limita la acestea: </w:t>
      </w:r>
    </w:p>
    <w:p w14:paraId="1252BB20" w14:textId="24E3967E" w:rsidR="00F066E3" w:rsidRPr="005402C9" w:rsidRDefault="00F066E3">
      <w:pPr>
        <w:pStyle w:val="ListParagraph"/>
        <w:numPr>
          <w:ilvl w:val="0"/>
          <w:numId w:val="20"/>
        </w:numPr>
        <w:spacing w:line="276" w:lineRule="auto"/>
        <w:jc w:val="both"/>
        <w:rPr>
          <w:rFonts w:ascii="Trebuchet MS" w:hAnsi="Trebuchet MS"/>
          <w:lang w:val="ro-RO"/>
        </w:rPr>
      </w:pPr>
      <w:r w:rsidRPr="005402C9">
        <w:rPr>
          <w:rFonts w:ascii="Trebuchet MS" w:hAnsi="Trebuchet MS"/>
          <w:lang w:val="ro-RO"/>
        </w:rPr>
        <w:t>Copia „conform cu originalul” a ordinului/ordinelor de plată pentru plata integrală a facturilor din cererea de transfer și extrasele de cont aferente;</w:t>
      </w:r>
    </w:p>
    <w:p w14:paraId="0AE16E1B" w14:textId="6796E617" w:rsidR="00F066E3" w:rsidRPr="005402C9" w:rsidRDefault="00F066E3">
      <w:pPr>
        <w:pStyle w:val="ListParagraph"/>
        <w:numPr>
          <w:ilvl w:val="0"/>
          <w:numId w:val="20"/>
        </w:numPr>
        <w:spacing w:line="276" w:lineRule="auto"/>
        <w:jc w:val="both"/>
        <w:rPr>
          <w:rFonts w:ascii="Trebuchet MS" w:hAnsi="Trebuchet MS"/>
          <w:lang w:val="ro-RO"/>
        </w:rPr>
      </w:pPr>
      <w:r w:rsidRPr="005402C9">
        <w:rPr>
          <w:rFonts w:ascii="Trebuchet MS" w:hAnsi="Trebuchet MS"/>
          <w:lang w:val="ro-RO"/>
        </w:rPr>
        <w:lastRenderedPageBreak/>
        <w:t>Documente care atestă înregistrarea în contabilitate a operațiunilor cuprinse în declarație (fișa de cont, balanța de verificare analitică/extras din balanța analitică, fișa mijloacelor fixe/registru imobilizări);</w:t>
      </w:r>
    </w:p>
    <w:p w14:paraId="0549AD1F" w14:textId="5B04BF55" w:rsidR="00F066E3" w:rsidRPr="005402C9" w:rsidRDefault="00F066E3">
      <w:pPr>
        <w:pStyle w:val="ListParagraph"/>
        <w:numPr>
          <w:ilvl w:val="0"/>
          <w:numId w:val="20"/>
        </w:numPr>
        <w:spacing w:line="276" w:lineRule="auto"/>
        <w:jc w:val="both"/>
        <w:rPr>
          <w:rFonts w:ascii="Trebuchet MS" w:hAnsi="Trebuchet MS"/>
          <w:lang w:val="ro-RO"/>
        </w:rPr>
      </w:pPr>
      <w:r w:rsidRPr="005402C9">
        <w:rPr>
          <w:rFonts w:ascii="Trebuchet MS" w:hAnsi="Trebuchet MS"/>
          <w:lang w:val="ro-RO"/>
        </w:rPr>
        <w:t>Documente de recepție/punere în funcțiune, contracte de servicii, fișe de lucru (worksheets / timesheets), dacă este cazul.</w:t>
      </w:r>
    </w:p>
    <w:p w14:paraId="7074BF69" w14:textId="77777777" w:rsidR="00A432C5" w:rsidRDefault="00F066E3">
      <w:pPr>
        <w:pStyle w:val="ListParagraph"/>
        <w:numPr>
          <w:ilvl w:val="0"/>
          <w:numId w:val="20"/>
        </w:numPr>
        <w:spacing w:line="276" w:lineRule="auto"/>
        <w:jc w:val="both"/>
        <w:rPr>
          <w:rFonts w:ascii="Trebuchet MS" w:hAnsi="Trebuchet MS"/>
          <w:lang w:val="ro-RO"/>
        </w:rPr>
      </w:pPr>
      <w:r w:rsidRPr="005402C9">
        <w:rPr>
          <w:rFonts w:ascii="Trebuchet MS" w:hAnsi="Trebuchet MS"/>
          <w:lang w:val="ro-RO"/>
        </w:rPr>
        <w:t>Contracte de muncă, fișe de pontaj precum și alte documente justificative pentru cheltuielile eligibile de personal și pentru cheltuielile cu utilizarea instrumentelor și echipamentelor.</w:t>
      </w:r>
      <w:r w:rsidR="00A432C5" w:rsidRPr="00A432C5">
        <w:rPr>
          <w:rFonts w:ascii="Trebuchet MS" w:hAnsi="Trebuchet MS"/>
          <w:lang w:val="ro-RO"/>
        </w:rPr>
        <w:t xml:space="preserve"> </w:t>
      </w:r>
    </w:p>
    <w:p w14:paraId="76833149" w14:textId="6815E1F8" w:rsidR="00F066E3" w:rsidRPr="00A432C5" w:rsidRDefault="00A432C5">
      <w:pPr>
        <w:pStyle w:val="ListParagraph"/>
        <w:numPr>
          <w:ilvl w:val="0"/>
          <w:numId w:val="20"/>
        </w:numPr>
        <w:spacing w:line="276" w:lineRule="auto"/>
        <w:jc w:val="both"/>
        <w:rPr>
          <w:rFonts w:ascii="Trebuchet MS" w:hAnsi="Trebuchet MS"/>
          <w:lang w:val="ro-RO"/>
        </w:rPr>
      </w:pPr>
      <w:r w:rsidRPr="005402C9">
        <w:rPr>
          <w:rFonts w:ascii="Trebuchet MS" w:hAnsi="Trebuchet MS"/>
          <w:lang w:val="ro-RO"/>
        </w:rPr>
        <w:t>Extras de cont din care să rezulte data încasării sumelor aferente cererii de transfer de la MIPE</w:t>
      </w:r>
      <w:r>
        <w:rPr>
          <w:rFonts w:ascii="Trebuchet MS" w:hAnsi="Trebuchet MS"/>
          <w:lang w:val="ro-RO"/>
        </w:rPr>
        <w:t xml:space="preserve">, în cazul </w:t>
      </w:r>
      <w:r w:rsidRPr="00A432C5">
        <w:rPr>
          <w:rFonts w:ascii="Trebuchet MS" w:hAnsi="Trebuchet MS"/>
          <w:lang w:val="ro-RO"/>
        </w:rPr>
        <w:t>Declarați</w:t>
      </w:r>
      <w:r>
        <w:rPr>
          <w:rFonts w:ascii="Trebuchet MS" w:hAnsi="Trebuchet MS"/>
          <w:lang w:val="ro-RO"/>
        </w:rPr>
        <w:t>ei</w:t>
      </w:r>
      <w:r w:rsidRPr="00A432C5">
        <w:rPr>
          <w:rFonts w:ascii="Trebuchet MS" w:hAnsi="Trebuchet MS"/>
          <w:lang w:val="ro-RO"/>
        </w:rPr>
        <w:t xml:space="preserve"> de utilizare a cererii de transfer</w:t>
      </w:r>
      <w:r w:rsidRPr="005402C9">
        <w:rPr>
          <w:rFonts w:ascii="Trebuchet MS" w:hAnsi="Trebuchet MS"/>
          <w:lang w:val="ro-RO"/>
        </w:rPr>
        <w:t>;</w:t>
      </w:r>
    </w:p>
    <w:p w14:paraId="2206B21C" w14:textId="6FE9F054" w:rsidR="00F066E3" w:rsidRPr="005402C9" w:rsidRDefault="00F066E3" w:rsidP="00F066E3">
      <w:pPr>
        <w:spacing w:line="276" w:lineRule="auto"/>
        <w:jc w:val="both"/>
        <w:rPr>
          <w:sz w:val="22"/>
          <w:szCs w:val="22"/>
        </w:rPr>
      </w:pPr>
      <w:r w:rsidRPr="005402C9">
        <w:rPr>
          <w:sz w:val="22"/>
          <w:szCs w:val="22"/>
        </w:rPr>
        <w:t xml:space="preserve">Sumele primite pe baza cererilor de transfer nu pot fi utilizate pentru o altă destinație decât cea pentru care au fost acordate și vor fi justificate </w:t>
      </w:r>
      <w:r w:rsidR="00A432C5">
        <w:rPr>
          <w:sz w:val="22"/>
          <w:szCs w:val="22"/>
        </w:rPr>
        <w:t xml:space="preserve">prin </w:t>
      </w:r>
      <w:r w:rsidRPr="005402C9">
        <w:rPr>
          <w:sz w:val="22"/>
          <w:szCs w:val="22"/>
        </w:rPr>
        <w:t>Declarația de utilizare a cererii de transfer.</w:t>
      </w:r>
    </w:p>
    <w:p w14:paraId="75EBA7EC" w14:textId="77777777" w:rsidR="00F066E3" w:rsidRPr="005402C9" w:rsidRDefault="00F066E3" w:rsidP="00F066E3">
      <w:pPr>
        <w:spacing w:line="276" w:lineRule="auto"/>
        <w:jc w:val="both"/>
        <w:rPr>
          <w:sz w:val="22"/>
          <w:szCs w:val="22"/>
        </w:rPr>
      </w:pPr>
      <w:r w:rsidRPr="005402C9">
        <w:rPr>
          <w:sz w:val="22"/>
          <w:szCs w:val="22"/>
        </w:rPr>
        <w:t>Un beneficiar nu va putea transmite o nouă cerere de transfer pentru cheltuieli dacă Declarația de utilizare a cererii de transfer depusă anterior nu este autorizată de către MIPE.</w:t>
      </w:r>
    </w:p>
    <w:p w14:paraId="50CDE8EF" w14:textId="5EF4FAF1" w:rsidR="00F066E3" w:rsidRPr="005402C9" w:rsidRDefault="00F066E3" w:rsidP="00F066E3">
      <w:pPr>
        <w:spacing w:line="276" w:lineRule="auto"/>
        <w:jc w:val="both"/>
        <w:rPr>
          <w:sz w:val="22"/>
          <w:szCs w:val="22"/>
        </w:rPr>
      </w:pPr>
      <w:r w:rsidRPr="005402C9">
        <w:rPr>
          <w:sz w:val="22"/>
          <w:szCs w:val="22"/>
        </w:rPr>
        <w:t xml:space="preserve">Pentru achizițiile care urmează a fi derulate în cadrul </w:t>
      </w:r>
      <w:r w:rsidR="004912BF" w:rsidRPr="005402C9">
        <w:rPr>
          <w:sz w:val="22"/>
          <w:szCs w:val="22"/>
        </w:rPr>
        <w:t>sub</w:t>
      </w:r>
      <w:r w:rsidRPr="005402C9">
        <w:rPr>
          <w:sz w:val="22"/>
          <w:szCs w:val="22"/>
        </w:rPr>
        <w:t xml:space="preserve">proiectului, beneficiarii vor respecta prevederile ÎNDRUMARULUI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 </w:t>
      </w:r>
      <w:hyperlink r:id="rId21" w:history="1">
        <w:r w:rsidR="004912BF" w:rsidRPr="005402C9">
          <w:rPr>
            <w:rStyle w:val="Hyperlink"/>
            <w:sz w:val="22"/>
            <w:szCs w:val="22"/>
          </w:rPr>
          <w:t>https://mfe.gov.ro/pnrr-a-fost-actualizat-indrumarul-metodologic-pentru-beneficiarii-privati-aplicabil-in-derularea-procedurilor-de-achizitie</w:t>
        </w:r>
      </w:hyperlink>
      <w:r w:rsidRPr="005402C9">
        <w:rPr>
          <w:sz w:val="22"/>
          <w:szCs w:val="22"/>
        </w:rPr>
        <w:t>.</w:t>
      </w:r>
      <w:r w:rsidR="00E765AD">
        <w:rPr>
          <w:sz w:val="22"/>
          <w:szCs w:val="22"/>
        </w:rPr>
        <w:t xml:space="preserve"> </w:t>
      </w:r>
    </w:p>
    <w:p w14:paraId="2F4DC1CA" w14:textId="72F90C0F" w:rsidR="009B50FC" w:rsidRPr="005402C9" w:rsidRDefault="009B50FC" w:rsidP="00F066E3">
      <w:pPr>
        <w:spacing w:line="276" w:lineRule="auto"/>
        <w:jc w:val="both"/>
        <w:rPr>
          <w:sz w:val="22"/>
          <w:szCs w:val="22"/>
        </w:rPr>
      </w:pPr>
      <w:r w:rsidRPr="005402C9">
        <w:rPr>
          <w:sz w:val="22"/>
          <w:szCs w:val="22"/>
        </w:rPr>
        <w:t>M</w:t>
      </w:r>
      <w:r w:rsidR="00A432C5">
        <w:rPr>
          <w:sz w:val="22"/>
          <w:szCs w:val="22"/>
        </w:rPr>
        <w:t>IPE</w:t>
      </w:r>
      <w:r w:rsidR="00F5014D">
        <w:rPr>
          <w:sz w:val="22"/>
          <w:szCs w:val="22"/>
        </w:rPr>
        <w:t>/MEAT</w:t>
      </w:r>
      <w:r w:rsidRPr="005402C9">
        <w:rPr>
          <w:sz w:val="22"/>
          <w:szCs w:val="22"/>
        </w:rPr>
        <w:t xml:space="preserve"> va pune la dispoziția beneficiarilor modele de cereri de transfer</w:t>
      </w:r>
      <w:r w:rsidR="00A432C5">
        <w:rPr>
          <w:sz w:val="22"/>
          <w:szCs w:val="22"/>
        </w:rPr>
        <w:t xml:space="preserve">, </w:t>
      </w:r>
      <w:r w:rsidR="00A432C5" w:rsidRPr="005402C9">
        <w:rPr>
          <w:sz w:val="22"/>
          <w:szCs w:val="22"/>
        </w:rPr>
        <w:t>cereri de transfer distincte, declarați</w:t>
      </w:r>
      <w:r w:rsidR="00A432C5">
        <w:rPr>
          <w:sz w:val="22"/>
          <w:szCs w:val="22"/>
        </w:rPr>
        <w:t xml:space="preserve">e </w:t>
      </w:r>
      <w:r w:rsidR="00A432C5" w:rsidRPr="005402C9">
        <w:rPr>
          <w:sz w:val="22"/>
          <w:szCs w:val="22"/>
        </w:rPr>
        <w:t>de cheltuieli aferentă cererii de transfer</w:t>
      </w:r>
      <w:r w:rsidR="00A432C5">
        <w:rPr>
          <w:sz w:val="22"/>
          <w:szCs w:val="22"/>
        </w:rPr>
        <w:t>, precum</w:t>
      </w:r>
      <w:r w:rsidRPr="005402C9">
        <w:rPr>
          <w:sz w:val="22"/>
          <w:szCs w:val="22"/>
        </w:rPr>
        <w:t xml:space="preserve"> și </w:t>
      </w:r>
      <w:r w:rsidR="00A432C5">
        <w:rPr>
          <w:sz w:val="22"/>
          <w:szCs w:val="22"/>
        </w:rPr>
        <w:t xml:space="preserve">de </w:t>
      </w:r>
      <w:r w:rsidRPr="005402C9">
        <w:rPr>
          <w:sz w:val="22"/>
          <w:szCs w:val="22"/>
        </w:rPr>
        <w:t>rapoarte de progres.</w:t>
      </w:r>
    </w:p>
    <w:p w14:paraId="069E1CEE" w14:textId="34E8649C" w:rsidR="00524F33" w:rsidRPr="005402C9" w:rsidRDefault="00524F33" w:rsidP="0013489D">
      <w:pPr>
        <w:pStyle w:val="Heading2"/>
        <w:rPr>
          <w:sz w:val="22"/>
          <w:szCs w:val="22"/>
        </w:rPr>
      </w:pPr>
      <w:bookmarkStart w:id="89" w:name="_Toc150159474"/>
      <w:r w:rsidRPr="005402C9">
        <w:rPr>
          <w:sz w:val="22"/>
          <w:szCs w:val="22"/>
        </w:rPr>
        <w:t>7.3 Transferul sumelor</w:t>
      </w:r>
      <w:bookmarkEnd w:id="89"/>
    </w:p>
    <w:p w14:paraId="7AC89386" w14:textId="374C6140" w:rsidR="00524F33" w:rsidRPr="005402C9" w:rsidRDefault="00524F33" w:rsidP="00524F33">
      <w:pPr>
        <w:spacing w:line="276" w:lineRule="auto"/>
        <w:jc w:val="both"/>
        <w:rPr>
          <w:sz w:val="22"/>
          <w:szCs w:val="22"/>
        </w:rPr>
      </w:pPr>
      <w:r w:rsidRPr="005402C9">
        <w:rPr>
          <w:sz w:val="22"/>
          <w:szCs w:val="22"/>
        </w:rPr>
        <w:t xml:space="preserve">Transferul sumelor solicitate de către Beneficiar, care au fost autorizate la plată de către MEAT, se va realiza de către MIPE conform legislației în vigoare aferentă </w:t>
      </w:r>
      <w:r w:rsidR="00F16ED0" w:rsidRPr="005402C9">
        <w:rPr>
          <w:sz w:val="22"/>
          <w:szCs w:val="22"/>
        </w:rPr>
        <w:t xml:space="preserve">gestionării </w:t>
      </w:r>
      <w:r w:rsidRPr="005402C9">
        <w:rPr>
          <w:sz w:val="22"/>
          <w:szCs w:val="22"/>
        </w:rPr>
        <w:t>fondurilor alocate României prin Mecanismul de redresare și reziliență.</w:t>
      </w:r>
    </w:p>
    <w:p w14:paraId="4CDCB608" w14:textId="77777777" w:rsidR="00A74F37" w:rsidRPr="005402C9" w:rsidRDefault="00A74F37" w:rsidP="00A74F37">
      <w:pPr>
        <w:spacing w:line="276" w:lineRule="auto"/>
        <w:jc w:val="both"/>
        <w:rPr>
          <w:sz w:val="22"/>
          <w:szCs w:val="22"/>
        </w:rPr>
      </w:pPr>
    </w:p>
    <w:p w14:paraId="4A402859" w14:textId="2D060623" w:rsidR="00A74F37" w:rsidRPr="005402C9" w:rsidRDefault="00A74F37" w:rsidP="0013489D">
      <w:pPr>
        <w:pStyle w:val="Heading2"/>
        <w:rPr>
          <w:b w:val="0"/>
          <w:sz w:val="22"/>
          <w:szCs w:val="22"/>
        </w:rPr>
      </w:pPr>
      <w:bookmarkStart w:id="90" w:name="_Toc150159475"/>
      <w:r w:rsidRPr="005402C9">
        <w:rPr>
          <w:bCs/>
          <w:sz w:val="22"/>
          <w:szCs w:val="22"/>
        </w:rPr>
        <w:t>7.4</w:t>
      </w:r>
      <w:r w:rsidRPr="005402C9">
        <w:rPr>
          <w:sz w:val="22"/>
          <w:szCs w:val="22"/>
        </w:rPr>
        <w:t xml:space="preserve">  Mecanisme de gestionare a riscurilor de implementare</w:t>
      </w:r>
      <w:bookmarkEnd w:id="90"/>
    </w:p>
    <w:p w14:paraId="30FB47A7" w14:textId="77777777" w:rsidR="00A15555" w:rsidRPr="005402C9" w:rsidRDefault="00A15555" w:rsidP="0013489D">
      <w:pPr>
        <w:tabs>
          <w:tab w:val="left" w:pos="9163"/>
        </w:tabs>
        <w:spacing w:line="276" w:lineRule="auto"/>
        <w:ind w:right="39"/>
        <w:jc w:val="both"/>
        <w:rPr>
          <w:sz w:val="22"/>
          <w:szCs w:val="22"/>
        </w:rPr>
      </w:pPr>
      <w:r w:rsidRPr="005402C9">
        <w:rPr>
          <w:sz w:val="22"/>
          <w:szCs w:val="22"/>
        </w:rPr>
        <w:t>În cazul proiectelor de cercetare, dezvoltare și inovare în cadrul PIIEC, riscurile de implementare sunt multiple, menționate în Decizia C (2023) 3817 din 8 iunie 2023: tehnologic, economic, financiar și alte riscuri de implementare.</w:t>
      </w:r>
    </w:p>
    <w:p w14:paraId="59D0773D" w14:textId="10B1B85F" w:rsidR="00A74F37" w:rsidRPr="005402C9" w:rsidRDefault="00A15555" w:rsidP="00F066E3">
      <w:pPr>
        <w:spacing w:line="276" w:lineRule="auto"/>
        <w:jc w:val="both"/>
        <w:rPr>
          <w:sz w:val="22"/>
          <w:szCs w:val="22"/>
        </w:rPr>
      </w:pPr>
      <w:r w:rsidRPr="005402C9">
        <w:rPr>
          <w:sz w:val="22"/>
          <w:szCs w:val="22"/>
        </w:rPr>
        <w:t>Subproiectele care fac obiectul prezentului apel vizează activitățile de cercetare și dezvoltare stabilite și verificate de participantul direct selectat conform Deciziei C (2023) 3817 din 8 iunie 2023, potrivit prevederilor acordului de colaborare efectivă încheiat cu participantul indirect.</w:t>
      </w:r>
      <w:r w:rsidR="000729AF" w:rsidRPr="005402C9">
        <w:rPr>
          <w:sz w:val="22"/>
          <w:szCs w:val="22"/>
        </w:rPr>
        <w:t xml:space="preserve"> Riscurile de implementare a subproiectelor sunt astfel influențate de riscurile de implementare a proiectelor participanților direcți, precum și a acordului de colaborare propriu-zis. </w:t>
      </w:r>
    </w:p>
    <w:p w14:paraId="1AB17C1E" w14:textId="7EA44467" w:rsidR="000729AF" w:rsidRPr="005402C9" w:rsidRDefault="000729AF" w:rsidP="0013489D">
      <w:pPr>
        <w:tabs>
          <w:tab w:val="left" w:pos="9163"/>
        </w:tabs>
        <w:spacing w:line="276" w:lineRule="auto"/>
        <w:ind w:right="39"/>
        <w:jc w:val="both"/>
        <w:rPr>
          <w:sz w:val="22"/>
          <w:szCs w:val="22"/>
        </w:rPr>
      </w:pPr>
      <w:r w:rsidRPr="005402C9">
        <w:rPr>
          <w:sz w:val="22"/>
          <w:szCs w:val="22"/>
        </w:rPr>
        <w:t xml:space="preserve">Solicitanții vor completa analiza riscurilor identificate și măsuri de diminuare sau prevenire a realizării acestora în cererea de </w:t>
      </w:r>
      <w:r w:rsidRPr="00E453EA">
        <w:rPr>
          <w:sz w:val="22"/>
          <w:szCs w:val="22"/>
        </w:rPr>
        <w:t>finanțare (secțiunea 4.2</w:t>
      </w:r>
      <w:r w:rsidR="00DC3E47" w:rsidRPr="00E453EA">
        <w:rPr>
          <w:sz w:val="22"/>
          <w:szCs w:val="22"/>
        </w:rPr>
        <w:t xml:space="preserve"> din cererea de finanțare</w:t>
      </w:r>
      <w:r w:rsidRPr="00E453EA">
        <w:rPr>
          <w:sz w:val="22"/>
          <w:szCs w:val="22"/>
        </w:rPr>
        <w:t>).</w:t>
      </w:r>
    </w:p>
    <w:p w14:paraId="3CABC9E6" w14:textId="77777777" w:rsidR="00A74F37" w:rsidRPr="005402C9" w:rsidRDefault="00A74F37" w:rsidP="00F066E3">
      <w:pPr>
        <w:spacing w:line="276" w:lineRule="auto"/>
        <w:jc w:val="both"/>
        <w:rPr>
          <w:sz w:val="22"/>
          <w:szCs w:val="22"/>
        </w:rPr>
      </w:pPr>
    </w:p>
    <w:p w14:paraId="14727974" w14:textId="2D987810" w:rsidR="008F50C0" w:rsidRPr="005402C9" w:rsidRDefault="00BF335E" w:rsidP="0013489D">
      <w:pPr>
        <w:pStyle w:val="Heading1"/>
        <w:spacing w:after="0" w:line="276" w:lineRule="auto"/>
        <w:ind w:left="0" w:firstLine="0"/>
        <w:jc w:val="both"/>
        <w:rPr>
          <w:color w:val="7030A0"/>
          <w:sz w:val="22"/>
          <w:szCs w:val="22"/>
        </w:rPr>
      </w:pPr>
      <w:bookmarkStart w:id="91" w:name="_Toc150159476"/>
      <w:r w:rsidRPr="005402C9">
        <w:rPr>
          <w:color w:val="7030A0"/>
          <w:sz w:val="22"/>
          <w:szCs w:val="22"/>
        </w:rPr>
        <w:t xml:space="preserve">8. </w:t>
      </w:r>
      <w:r w:rsidR="008F50C0" w:rsidRPr="005402C9">
        <w:rPr>
          <w:color w:val="7030A0"/>
          <w:sz w:val="22"/>
          <w:szCs w:val="22"/>
        </w:rPr>
        <w:t>TRANSPARENȚĂ</w:t>
      </w:r>
      <w:bookmarkEnd w:id="91"/>
    </w:p>
    <w:p w14:paraId="7F43CF4C" w14:textId="77777777" w:rsidR="008F50C0" w:rsidRPr="005402C9" w:rsidRDefault="008F50C0" w:rsidP="008F50C0">
      <w:pPr>
        <w:spacing w:before="0" w:after="0" w:line="276" w:lineRule="auto"/>
        <w:jc w:val="both"/>
        <w:rPr>
          <w:sz w:val="22"/>
          <w:szCs w:val="22"/>
        </w:rPr>
      </w:pPr>
    </w:p>
    <w:p w14:paraId="633D8655" w14:textId="45523EE6" w:rsidR="008F50C0" w:rsidRPr="005402C9" w:rsidRDefault="008F50C0" w:rsidP="008F50C0">
      <w:pPr>
        <w:spacing w:before="0" w:after="0" w:line="276" w:lineRule="auto"/>
        <w:jc w:val="both"/>
        <w:rPr>
          <w:sz w:val="22"/>
          <w:szCs w:val="22"/>
        </w:rPr>
      </w:pPr>
      <w:r w:rsidRPr="005402C9">
        <w:rPr>
          <w:sz w:val="22"/>
          <w:szCs w:val="22"/>
        </w:rPr>
        <w:lastRenderedPageBreak/>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w:t>
      </w:r>
      <w:r w:rsidRPr="005402C9">
        <w:rPr>
          <w:b/>
          <w:bCs/>
          <w:i/>
          <w:iCs/>
          <w:sz w:val="22"/>
          <w:szCs w:val="22"/>
        </w:rPr>
        <w:t>„Proiect finanțat de Uniunea Europeană-NextGenerationEU</w:t>
      </w:r>
      <w:r w:rsidRPr="005402C9">
        <w:rPr>
          <w:sz w:val="22"/>
          <w:szCs w:val="22"/>
        </w:rPr>
        <w:t xml:space="preserve">”, precum și prin oferirea de informații specifice coerente, concrete și proporționale, cu respectarea prevederilor Manualului de identitate vizuală a PNRR elaborat de Ministerul Investițiilor și Proiectelor Europene și disponibil la următorul link: </w:t>
      </w:r>
      <w:hyperlink r:id="rId22">
        <w:r w:rsidRPr="005402C9">
          <w:rPr>
            <w:color w:val="0000FF"/>
            <w:sz w:val="22"/>
            <w:szCs w:val="22"/>
            <w:u w:val="single"/>
          </w:rPr>
          <w:t>https://mfe.gov.ro/wp-content/uploads/2022/07/07054c8608efd34d8e14c5709a1a4b47.pdf</w:t>
        </w:r>
      </w:hyperlink>
      <w:r w:rsidRPr="005402C9">
        <w:rPr>
          <w:sz w:val="22"/>
          <w:szCs w:val="22"/>
        </w:rPr>
        <w:t xml:space="preserve"> </w:t>
      </w:r>
    </w:p>
    <w:p w14:paraId="4A5744C9" w14:textId="77777777" w:rsidR="008F50C0" w:rsidRPr="005402C9" w:rsidRDefault="008F50C0" w:rsidP="008F50C0">
      <w:pPr>
        <w:spacing w:before="0" w:after="0" w:line="276" w:lineRule="auto"/>
        <w:jc w:val="both"/>
        <w:rPr>
          <w:sz w:val="22"/>
          <w:szCs w:val="22"/>
        </w:rPr>
      </w:pPr>
    </w:p>
    <w:p w14:paraId="10F6BEEB" w14:textId="77777777" w:rsidR="008F50C0" w:rsidRPr="005402C9" w:rsidRDefault="008F50C0" w:rsidP="008F50C0">
      <w:pPr>
        <w:spacing w:before="0" w:after="0" w:line="276" w:lineRule="auto"/>
        <w:jc w:val="both"/>
        <w:rPr>
          <w:sz w:val="22"/>
          <w:szCs w:val="22"/>
        </w:rPr>
      </w:pPr>
      <w:r w:rsidRPr="005402C9">
        <w:rPr>
          <w:sz w:val="22"/>
          <w:szCs w:val="22"/>
        </w:rPr>
        <w:t>Acceptarea finanțării conduce la acceptarea de către beneficiar a prevederilor Manualului de identitate vizuală a PNRR</w:t>
      </w:r>
      <w:r w:rsidRPr="005402C9">
        <w:t xml:space="preserve"> </w:t>
      </w:r>
      <w:r w:rsidRPr="005402C9">
        <w:rPr>
          <w:sz w:val="22"/>
          <w:szCs w:val="22"/>
        </w:rPr>
        <w:t>pentru toate materialele de informare și comunicare. Beneficiarii sunt responsabili pentru informarea publicului despre proiectul derulat cu finanțare din PNRR.</w:t>
      </w:r>
    </w:p>
    <w:p w14:paraId="4FCCD99A" w14:textId="77777777" w:rsidR="00F11CEB" w:rsidRPr="005402C9" w:rsidRDefault="00F11CEB" w:rsidP="00F11CEB">
      <w:pPr>
        <w:pStyle w:val="Style15"/>
        <w:tabs>
          <w:tab w:val="left" w:pos="1094"/>
        </w:tabs>
        <w:spacing w:before="7" w:line="276" w:lineRule="auto"/>
        <w:ind w:firstLine="0"/>
        <w:rPr>
          <w:rFonts w:ascii="Trebuchet MS" w:hAnsi="Trebuchet MS"/>
          <w:color w:val="000000"/>
          <w:sz w:val="22"/>
          <w:szCs w:val="22"/>
        </w:rPr>
      </w:pPr>
    </w:p>
    <w:p w14:paraId="1FDDDFA8" w14:textId="3DDD4095" w:rsidR="00F11CEB" w:rsidRPr="005402C9" w:rsidRDefault="00F11CEB" w:rsidP="0013489D">
      <w:pPr>
        <w:pStyle w:val="Style15"/>
        <w:tabs>
          <w:tab w:val="left" w:pos="1094"/>
        </w:tabs>
        <w:spacing w:before="7" w:line="276" w:lineRule="auto"/>
        <w:ind w:firstLine="0"/>
        <w:rPr>
          <w:rFonts w:ascii="Trebuchet MS" w:hAnsi="Trebuchet MS"/>
          <w:color w:val="000000"/>
          <w:sz w:val="22"/>
          <w:szCs w:val="22"/>
        </w:rPr>
      </w:pPr>
      <w:r w:rsidRPr="005402C9">
        <w:rPr>
          <w:rFonts w:ascii="Trebuchet MS" w:hAnsi="Trebuchet MS"/>
          <w:color w:val="000000"/>
          <w:sz w:val="22"/>
          <w:szCs w:val="22"/>
        </w:rPr>
        <w:t>Contractul de finanţare, inclusiv anexele sale, precum şi informaţiile şi documentele vizând executarea contractului constituie informaţii de interes public în condiţiile prevederilor Legii nr. 544/2001 privind liberul acces la informaţiile de interes public, cu modificările şi completările ulterioare, cu respectarea excepţiilor prevăzute de aceasta şi a celor stabilite prin contract. Următoarele elemente, asa cum rezultă acestea din contractul de finanţare şi anexele acestuia, nu pot avea caracter confidenţial:</w:t>
      </w:r>
      <w:r w:rsidRPr="005402C9">
        <w:rPr>
          <w:rFonts w:ascii="Trebuchet MS" w:hAnsi="Trebuchet MS"/>
          <w:color w:val="000000"/>
          <w:sz w:val="22"/>
          <w:szCs w:val="22"/>
        </w:rPr>
        <w:tab/>
      </w:r>
      <w:r w:rsidRPr="005402C9">
        <w:rPr>
          <w:rFonts w:ascii="Trebuchet MS" w:hAnsi="Trebuchet MS"/>
          <w:color w:val="000000"/>
          <w:sz w:val="22"/>
          <w:szCs w:val="22"/>
        </w:rPr>
        <w:tab/>
      </w:r>
    </w:p>
    <w:p w14:paraId="1DD9F81D" w14:textId="77777777" w:rsidR="00F11CEB" w:rsidRPr="005402C9" w:rsidRDefault="00F11CEB">
      <w:pPr>
        <w:pStyle w:val="Style15"/>
        <w:numPr>
          <w:ilvl w:val="1"/>
          <w:numId w:val="3"/>
        </w:numPr>
        <w:tabs>
          <w:tab w:val="left" w:pos="900"/>
          <w:tab w:val="left" w:pos="1094"/>
        </w:tabs>
        <w:spacing w:before="7" w:line="276" w:lineRule="auto"/>
        <w:ind w:left="630"/>
        <w:rPr>
          <w:rFonts w:ascii="Trebuchet MS" w:hAnsi="Trebuchet MS"/>
          <w:color w:val="000000"/>
          <w:sz w:val="22"/>
          <w:szCs w:val="22"/>
        </w:rPr>
      </w:pPr>
      <w:r w:rsidRPr="005402C9">
        <w:rPr>
          <w:rFonts w:ascii="Trebuchet MS" w:hAnsi="Trebuchet MS"/>
          <w:color w:val="000000"/>
          <w:sz w:val="22"/>
          <w:szCs w:val="22"/>
        </w:rPr>
        <w:t xml:space="preserve">denumirea proiectului, denumirea completă a beneficiarului şi, dacă aceştia există, a partenerilor, data de începere şi cea de finalizare ale proiectului, date de contact - minimum o adresă de email şi număr de telefon ; </w:t>
      </w:r>
    </w:p>
    <w:p w14:paraId="4E104055" w14:textId="77777777" w:rsidR="00F11CEB" w:rsidRPr="005402C9" w:rsidRDefault="00F11CEB">
      <w:pPr>
        <w:pStyle w:val="Style15"/>
        <w:numPr>
          <w:ilvl w:val="1"/>
          <w:numId w:val="3"/>
        </w:numPr>
        <w:tabs>
          <w:tab w:val="left" w:pos="900"/>
          <w:tab w:val="left" w:pos="1094"/>
        </w:tabs>
        <w:spacing w:before="7" w:line="276" w:lineRule="auto"/>
        <w:ind w:left="630"/>
        <w:rPr>
          <w:rFonts w:ascii="Trebuchet MS" w:hAnsi="Trebuchet MS"/>
          <w:color w:val="000000"/>
          <w:sz w:val="22"/>
          <w:szCs w:val="22"/>
        </w:rPr>
      </w:pPr>
      <w:r w:rsidRPr="005402C9">
        <w:rPr>
          <w:rFonts w:ascii="Trebuchet MS" w:hAnsi="Trebuchet MS"/>
          <w:color w:val="000000"/>
          <w:sz w:val="22"/>
          <w:szCs w:val="22"/>
        </w:rPr>
        <w:t>valoarea totală a finanţării nerambursabile acordată şi intensitatea sprijinului, exprimate atât ca suma concretă, cât şi ca procent din totalul cheltuielilor eligibile ale proiectului, precum şi valoarea plăţilor efectuate;</w:t>
      </w:r>
    </w:p>
    <w:p w14:paraId="6080E7E0" w14:textId="77777777" w:rsidR="00F11CEB" w:rsidRPr="005402C9" w:rsidRDefault="00F11CEB">
      <w:pPr>
        <w:pStyle w:val="Style15"/>
        <w:numPr>
          <w:ilvl w:val="1"/>
          <w:numId w:val="3"/>
        </w:numPr>
        <w:tabs>
          <w:tab w:val="left" w:pos="900"/>
          <w:tab w:val="left" w:pos="1094"/>
        </w:tabs>
        <w:spacing w:before="7" w:line="276" w:lineRule="auto"/>
        <w:ind w:left="630"/>
        <w:rPr>
          <w:rFonts w:ascii="Trebuchet MS" w:hAnsi="Trebuchet MS"/>
          <w:color w:val="000000"/>
          <w:sz w:val="22"/>
          <w:szCs w:val="22"/>
        </w:rPr>
      </w:pPr>
      <w:r w:rsidRPr="005402C9">
        <w:rPr>
          <w:rFonts w:ascii="Trebuchet MS" w:hAnsi="Trebuchet MS"/>
          <w:color w:val="000000"/>
          <w:sz w:val="22"/>
          <w:szCs w:val="22"/>
        </w:rPr>
        <w:t>informaţii privind resursele umane din cadrul proiectului: denumirea postului, timpul de lucru;</w:t>
      </w:r>
    </w:p>
    <w:p w14:paraId="4C4C64E6" w14:textId="77777777" w:rsidR="00F11CEB" w:rsidRPr="005402C9" w:rsidRDefault="00F11CEB">
      <w:pPr>
        <w:pStyle w:val="Style15"/>
        <w:numPr>
          <w:ilvl w:val="1"/>
          <w:numId w:val="3"/>
        </w:numPr>
        <w:tabs>
          <w:tab w:val="left" w:pos="900"/>
          <w:tab w:val="left" w:pos="1094"/>
        </w:tabs>
        <w:spacing w:before="7" w:line="276" w:lineRule="auto"/>
        <w:ind w:left="630"/>
        <w:rPr>
          <w:rFonts w:ascii="Trebuchet MS" w:hAnsi="Trebuchet MS"/>
          <w:color w:val="000000"/>
          <w:sz w:val="22"/>
          <w:szCs w:val="22"/>
        </w:rPr>
      </w:pPr>
      <w:r w:rsidRPr="005402C9">
        <w:rPr>
          <w:rFonts w:ascii="Trebuchet MS" w:hAnsi="Trebuchet MS"/>
          <w:color w:val="000000"/>
          <w:sz w:val="22"/>
          <w:szCs w:val="22"/>
        </w:rPr>
        <w:t>rezultatele estimate şi cele realizate ale proiectului, atât cele corespunzătoare obiectivelor, cât şi cele corespunzătoare activităţilor, cu referire la indicatorii asumați prin semnarea contractului de finanțare;</w:t>
      </w:r>
    </w:p>
    <w:p w14:paraId="29C7B44E" w14:textId="77777777" w:rsidR="00F11CEB" w:rsidRPr="005402C9" w:rsidRDefault="00F11CEB">
      <w:pPr>
        <w:pStyle w:val="Style15"/>
        <w:numPr>
          <w:ilvl w:val="1"/>
          <w:numId w:val="3"/>
        </w:numPr>
        <w:tabs>
          <w:tab w:val="left" w:pos="900"/>
          <w:tab w:val="left" w:pos="1094"/>
        </w:tabs>
        <w:spacing w:before="7" w:line="276" w:lineRule="auto"/>
        <w:ind w:left="630"/>
        <w:rPr>
          <w:rFonts w:ascii="Trebuchet MS" w:hAnsi="Trebuchet MS"/>
          <w:color w:val="000000"/>
          <w:sz w:val="22"/>
          <w:szCs w:val="22"/>
        </w:rPr>
      </w:pPr>
      <w:r w:rsidRPr="005402C9">
        <w:rPr>
          <w:rFonts w:ascii="Trebuchet MS" w:hAnsi="Trebuchet MS"/>
          <w:color w:val="000000"/>
          <w:sz w:val="22"/>
          <w:szCs w:val="22"/>
        </w:rPr>
        <w:t>denumirea furnizorilor de produse, prestatorilor de servicii contractaţi în cadrul proiectului, precum şi obiectul contractului, valoarea acestuia şi plăţile efectuate;</w:t>
      </w:r>
    </w:p>
    <w:p w14:paraId="6D5CEBA0" w14:textId="77777777" w:rsidR="00F11CEB" w:rsidRPr="005402C9" w:rsidRDefault="00F11CEB">
      <w:pPr>
        <w:pStyle w:val="Style15"/>
        <w:numPr>
          <w:ilvl w:val="1"/>
          <w:numId w:val="3"/>
        </w:numPr>
        <w:tabs>
          <w:tab w:val="left" w:pos="900"/>
          <w:tab w:val="left" w:pos="1094"/>
        </w:tabs>
        <w:spacing w:before="7" w:line="276" w:lineRule="auto"/>
        <w:ind w:left="630"/>
        <w:rPr>
          <w:rFonts w:ascii="Trebuchet MS" w:hAnsi="Trebuchet MS"/>
          <w:color w:val="000000"/>
          <w:sz w:val="22"/>
          <w:szCs w:val="22"/>
        </w:rPr>
      </w:pPr>
      <w:r w:rsidRPr="005402C9">
        <w:rPr>
          <w:rFonts w:ascii="Trebuchet MS" w:hAnsi="Trebuchet MS"/>
          <w:color w:val="000000"/>
          <w:sz w:val="22"/>
          <w:szCs w:val="22"/>
        </w:rPr>
        <w:t xml:space="preserve">elemente de sustenabilitate a rezultatelor proiectului. </w:t>
      </w:r>
    </w:p>
    <w:p w14:paraId="5531F5C2" w14:textId="77777777" w:rsidR="00BE35D7" w:rsidRPr="005402C9" w:rsidRDefault="00BE35D7" w:rsidP="00BE35D7">
      <w:pPr>
        <w:pStyle w:val="Style15"/>
        <w:tabs>
          <w:tab w:val="left" w:pos="1094"/>
        </w:tabs>
        <w:spacing w:before="7" w:line="276" w:lineRule="auto"/>
        <w:ind w:firstLine="0"/>
        <w:rPr>
          <w:rFonts w:ascii="Trebuchet MS" w:hAnsi="Trebuchet MS"/>
          <w:color w:val="000000"/>
          <w:sz w:val="22"/>
          <w:szCs w:val="22"/>
        </w:rPr>
      </w:pPr>
    </w:p>
    <w:p w14:paraId="20C84A6B" w14:textId="69113BD9" w:rsidR="00F11CEB" w:rsidRPr="005402C9" w:rsidRDefault="00F11CEB" w:rsidP="0013489D">
      <w:pPr>
        <w:pStyle w:val="Style15"/>
        <w:tabs>
          <w:tab w:val="left" w:pos="1094"/>
        </w:tabs>
        <w:spacing w:before="7" w:line="276" w:lineRule="auto"/>
        <w:ind w:firstLine="0"/>
        <w:rPr>
          <w:rFonts w:ascii="Trebuchet MS" w:hAnsi="Trebuchet MS"/>
          <w:color w:val="000000"/>
          <w:sz w:val="22"/>
          <w:szCs w:val="22"/>
        </w:rPr>
      </w:pPr>
      <w:r w:rsidRPr="005402C9">
        <w:rPr>
          <w:rFonts w:ascii="Trebuchet MS" w:hAnsi="Trebuchet MS"/>
          <w:color w:val="000000"/>
          <w:sz w:val="22"/>
          <w:szCs w:val="22"/>
        </w:rPr>
        <w:t xml:space="preserve">Ghidul specific a fost publicat în consultare publică în data de ............., până la data ............. și include observațiile acceptate. </w:t>
      </w:r>
    </w:p>
    <w:p w14:paraId="5E8650F4" w14:textId="77777777" w:rsidR="00F11CEB" w:rsidRPr="005402C9" w:rsidRDefault="00F11CEB" w:rsidP="008F50C0">
      <w:pPr>
        <w:spacing w:before="0" w:after="0" w:line="276" w:lineRule="auto"/>
        <w:jc w:val="both"/>
        <w:rPr>
          <w:sz w:val="22"/>
          <w:szCs w:val="22"/>
        </w:rPr>
      </w:pPr>
    </w:p>
    <w:p w14:paraId="4E4F6605" w14:textId="4E873845" w:rsidR="008F50C0" w:rsidRPr="005402C9" w:rsidRDefault="00BF335E" w:rsidP="0013489D">
      <w:pPr>
        <w:pStyle w:val="Heading1"/>
        <w:spacing w:after="0" w:line="276" w:lineRule="auto"/>
        <w:ind w:left="0" w:firstLine="0"/>
        <w:jc w:val="both"/>
        <w:rPr>
          <w:color w:val="7030A0"/>
          <w:sz w:val="22"/>
          <w:szCs w:val="22"/>
        </w:rPr>
      </w:pPr>
      <w:bookmarkStart w:id="92" w:name="_Toc150159477"/>
      <w:r w:rsidRPr="005402C9">
        <w:rPr>
          <w:color w:val="7030A0"/>
          <w:sz w:val="22"/>
          <w:szCs w:val="22"/>
        </w:rPr>
        <w:t xml:space="preserve">9. </w:t>
      </w:r>
      <w:r w:rsidR="008F50C0" w:rsidRPr="005402C9">
        <w:rPr>
          <w:color w:val="7030A0"/>
          <w:sz w:val="22"/>
          <w:szCs w:val="22"/>
        </w:rPr>
        <w:t>PREVENIREA NEREGULILOR GRAVE, A DUBLEI FINANȚĂRI</w:t>
      </w:r>
      <w:bookmarkEnd w:id="92"/>
    </w:p>
    <w:p w14:paraId="2913A74F" w14:textId="77777777" w:rsidR="008F50C0" w:rsidRPr="005402C9" w:rsidRDefault="008F50C0" w:rsidP="008F50C0">
      <w:pPr>
        <w:contextualSpacing/>
        <w:jc w:val="both"/>
        <w:rPr>
          <w:iCs/>
        </w:rPr>
      </w:pPr>
    </w:p>
    <w:p w14:paraId="424B5039" w14:textId="3856D3DD" w:rsidR="004F7D3A" w:rsidRPr="005402C9" w:rsidRDefault="004F7D3A" w:rsidP="0013489D">
      <w:pPr>
        <w:spacing w:line="276" w:lineRule="auto"/>
        <w:jc w:val="both"/>
        <w:rPr>
          <w:sz w:val="22"/>
          <w:szCs w:val="22"/>
        </w:rPr>
      </w:pPr>
      <w:r w:rsidRPr="005402C9">
        <w:rPr>
          <w:sz w:val="22"/>
          <w:szCs w:val="22"/>
        </w:rPr>
        <w:t xml:space="preserve">În vederea </w:t>
      </w:r>
      <w:r w:rsidRPr="005402C9">
        <w:rPr>
          <w:b/>
          <w:sz w:val="22"/>
          <w:szCs w:val="22"/>
        </w:rPr>
        <w:t>evitării conflictului de interese</w:t>
      </w:r>
      <w:r w:rsidRPr="005402C9">
        <w:rPr>
          <w:sz w:val="22"/>
          <w:szCs w:val="22"/>
        </w:rPr>
        <w:t xml:space="preserve">, solicitantul va prezenta declarația reprezentantului legal/împuternicitului potrivit căreia va lua toate măsurile necesare pentru prevenirea neregulilor grave (conflict de interese, fraudă, corupție), atât în faza de contractare a proiectului propus spre finanțare din PNRR, în perioada de implementare cât și în perioada de </w:t>
      </w:r>
      <w:r w:rsidR="00D83E06" w:rsidRPr="005402C9">
        <w:rPr>
          <w:sz w:val="22"/>
          <w:szCs w:val="22"/>
        </w:rPr>
        <w:t>sustenabilitate</w:t>
      </w:r>
      <w:r w:rsidRPr="005402C9">
        <w:rPr>
          <w:sz w:val="22"/>
          <w:szCs w:val="22"/>
        </w:rPr>
        <w:t xml:space="preserve"> a acestuia, în conformitate cu prevederile legale naționale și europene incidente.</w:t>
      </w:r>
    </w:p>
    <w:p w14:paraId="5E517CDD" w14:textId="77777777" w:rsidR="004F7D3A" w:rsidRPr="005402C9" w:rsidRDefault="004F7D3A" w:rsidP="0013489D">
      <w:pPr>
        <w:pStyle w:val="ListParagraph"/>
        <w:tabs>
          <w:tab w:val="left" w:pos="1350"/>
        </w:tabs>
        <w:spacing w:before="120" w:after="120" w:line="276" w:lineRule="auto"/>
        <w:ind w:left="0"/>
        <w:jc w:val="both"/>
        <w:textAlignment w:val="auto"/>
        <w:rPr>
          <w:rFonts w:ascii="Trebuchet MS" w:hAnsi="Trebuchet MS"/>
          <w:lang w:val="ro-RO"/>
        </w:rPr>
      </w:pPr>
      <w:r w:rsidRPr="005402C9">
        <w:rPr>
          <w:rFonts w:ascii="Trebuchet MS" w:hAnsi="Trebuchet MS"/>
          <w:lang w:val="ro-RO"/>
        </w:rPr>
        <w:t xml:space="preserve">Potrivit art. 9 din Regulamentul UE nr. 241/2021, reformele și proiectele de investiții pot beneficia de sprijin din partea altor programe și instrumente ale Uniunii, cu condiția ca acest sprijin să nu acopere aceleași costuri. Astfel, pentru a asigura respectarea </w:t>
      </w:r>
      <w:r w:rsidRPr="005402C9">
        <w:rPr>
          <w:rFonts w:ascii="Trebuchet MS" w:hAnsi="Trebuchet MS"/>
          <w:b/>
          <w:lang w:val="ro-RO"/>
        </w:rPr>
        <w:t>principiului evitării dublei finanțări</w:t>
      </w:r>
      <w:r w:rsidRPr="005402C9">
        <w:rPr>
          <w:rFonts w:ascii="Trebuchet MS" w:hAnsi="Trebuchet MS"/>
          <w:lang w:val="ro-RO"/>
        </w:rPr>
        <w:t xml:space="preserve">, beneficiarii vor prezenta declarații pe proprie răspundere că activitățile specifice ale </w:t>
      </w:r>
      <w:r w:rsidRPr="005402C9">
        <w:rPr>
          <w:rFonts w:ascii="Trebuchet MS" w:hAnsi="Trebuchet MS"/>
          <w:lang w:val="ro-RO"/>
        </w:rPr>
        <w:lastRenderedPageBreak/>
        <w:t>proiectului nu mai fac obiectul unei alte finanțări europene și nu au mai beneficiat în ultimii 5 ani de sprijin financiar pentru aceleași costuri și vor completa Declarația</w:t>
      </w:r>
      <w:r w:rsidRPr="005402C9">
        <w:rPr>
          <w:rFonts w:ascii="Trebuchet MS" w:hAnsi="Trebuchet MS"/>
          <w:b/>
          <w:bCs/>
          <w:i/>
          <w:iCs/>
          <w:lang w:val="ro-RO"/>
        </w:rPr>
        <w:t xml:space="preserve"> </w:t>
      </w:r>
      <w:r w:rsidRPr="005402C9">
        <w:rPr>
          <w:rFonts w:ascii="Trebuchet MS" w:hAnsi="Trebuchet MS"/>
          <w:lang w:val="ro-RO"/>
        </w:rPr>
        <w:t>privind evitarea conflictelor de interese, a fraudei, corupției și a dublei finanțări – Anexa 2. Model E</w:t>
      </w:r>
      <w:r w:rsidRPr="005402C9">
        <w:rPr>
          <w:rFonts w:ascii="Trebuchet MS" w:hAnsi="Trebuchet MS"/>
          <w:b/>
          <w:bCs/>
          <w:i/>
          <w:iCs/>
          <w:lang w:val="ro-RO"/>
        </w:rPr>
        <w:t>.</w:t>
      </w:r>
    </w:p>
    <w:p w14:paraId="7730022C" w14:textId="77777777" w:rsidR="004F7D3A" w:rsidRPr="005402C9" w:rsidRDefault="004F7D3A" w:rsidP="0013489D">
      <w:pPr>
        <w:spacing w:line="276" w:lineRule="auto"/>
        <w:jc w:val="both"/>
        <w:rPr>
          <w:sz w:val="22"/>
          <w:szCs w:val="22"/>
        </w:rPr>
      </w:pPr>
      <w:r w:rsidRPr="005402C9">
        <w:rPr>
          <w:sz w:val="22"/>
          <w:szCs w:val="22"/>
        </w:rPr>
        <w:t>În cazul nerespectării condițiilor menționate anterior sunt incidente prevederile OUG nr. 70/2022. În acest context vor fi verificate și procedurile de achiziție publică derulate de beneficiari, după semnarea contractul de finanțare conform aceluiași act normativ.</w:t>
      </w:r>
    </w:p>
    <w:p w14:paraId="07D054AA" w14:textId="77777777" w:rsidR="004F7D3A" w:rsidRPr="005402C9" w:rsidRDefault="004F7D3A" w:rsidP="0013489D">
      <w:pPr>
        <w:spacing w:line="276" w:lineRule="auto"/>
        <w:jc w:val="both"/>
        <w:rPr>
          <w:sz w:val="22"/>
          <w:szCs w:val="22"/>
        </w:rPr>
      </w:pPr>
      <w:r w:rsidRPr="005402C9">
        <w:rPr>
          <w:sz w:val="22"/>
          <w:szCs w:val="22"/>
        </w:rPr>
        <w:t>În desfășurarea acțiunilor de verificare a procedurilor de achiziție publică, MEAT verifică ex-post procedurile de achiziție desfășurate de beneficiarii selectați pentru finanțare din PNRR.</w:t>
      </w:r>
    </w:p>
    <w:p w14:paraId="5E4CA8D7" w14:textId="77777777" w:rsidR="004F7D3A" w:rsidRPr="005402C9" w:rsidRDefault="004F7D3A" w:rsidP="0013489D">
      <w:pPr>
        <w:spacing w:line="276" w:lineRule="auto"/>
        <w:jc w:val="both"/>
        <w:rPr>
          <w:sz w:val="22"/>
          <w:szCs w:val="22"/>
        </w:rPr>
      </w:pPr>
      <w:r w:rsidRPr="005402C9">
        <w:rPr>
          <w:sz w:val="22"/>
          <w:szCs w:val="22"/>
        </w:rPr>
        <w:t>În situația unei suspiciuni de neregulă constatată ca urmare a verificării procedurilor de achiziție publică, MEAT sesizează MIPE în vederea efectuării verificărilor. În situația confirmării neregulilor ca urmare a verificărilor, MIPE sesizează Curtea de Conturi a României în vederea stabilirii contravențiilor și aplicării sancțiunilor.</w:t>
      </w:r>
    </w:p>
    <w:p w14:paraId="0B347B11" w14:textId="26AA72D0" w:rsidR="004F7D3A" w:rsidRPr="005402C9" w:rsidRDefault="004F7D3A" w:rsidP="0013489D">
      <w:pPr>
        <w:spacing w:line="276" w:lineRule="auto"/>
        <w:jc w:val="both"/>
        <w:rPr>
          <w:sz w:val="22"/>
          <w:szCs w:val="22"/>
        </w:rPr>
      </w:pPr>
      <w:r w:rsidRPr="005402C9">
        <w:rPr>
          <w:sz w:val="22"/>
          <w:szCs w:val="22"/>
        </w:rPr>
        <w:t xml:space="preserve">Solicitanții își asumă prin </w:t>
      </w:r>
      <w:r w:rsidRPr="005402C9">
        <w:rPr>
          <w:i/>
          <w:iCs/>
          <w:sz w:val="22"/>
          <w:szCs w:val="22"/>
        </w:rPr>
        <w:t xml:space="preserve">Declarația de </w:t>
      </w:r>
      <w:r w:rsidRPr="00E453EA">
        <w:rPr>
          <w:i/>
          <w:iCs/>
          <w:sz w:val="22"/>
          <w:szCs w:val="22"/>
        </w:rPr>
        <w:t>angajament – Model A</w:t>
      </w:r>
      <w:r w:rsidRPr="00E453EA">
        <w:rPr>
          <w:b/>
          <w:bCs/>
          <w:i/>
          <w:iCs/>
          <w:sz w:val="22"/>
          <w:szCs w:val="22"/>
        </w:rPr>
        <w:t xml:space="preserve"> </w:t>
      </w:r>
      <w:r w:rsidRPr="00E453EA">
        <w:rPr>
          <w:sz w:val="22"/>
          <w:szCs w:val="22"/>
        </w:rPr>
        <w:t>depusă</w:t>
      </w:r>
      <w:r w:rsidRPr="005402C9">
        <w:rPr>
          <w:sz w:val="22"/>
          <w:szCs w:val="22"/>
        </w:rPr>
        <w:t xml:space="preserve"> odată cu documentația aferentă subproiectului respectarea </w:t>
      </w:r>
      <w:bookmarkStart w:id="93" w:name="_Hlk149118632"/>
      <w:r w:rsidRPr="005402C9">
        <w:rPr>
          <w:sz w:val="22"/>
          <w:szCs w:val="22"/>
        </w:rPr>
        <w:t>prevederilor și principiilor care guvernează achizițiile pentru atribuirea contractelor de furnizare de produse, prestare de servicii, execuție de lucrări finanțate din fonduri aferente Mecanismului de Redresare și Reziliență.</w:t>
      </w:r>
      <w:bookmarkEnd w:id="93"/>
      <w:r w:rsidRPr="005402C9">
        <w:rPr>
          <w:sz w:val="22"/>
          <w:szCs w:val="22"/>
        </w:rPr>
        <w:t xml:space="preserve"> În temeiul art. 22 din Regulamentul (UE) nr. 241/2021, MIPE va întreprinde verificări în vederea identificării beneficiarilor reali de fonduri din PNRR și raportării acestora în sistemul informatic de gestiune a PNRR, solicitând beneficiarilor să transmită certificatul ONRC la depunerea cererii de finanțare. </w:t>
      </w:r>
      <w:bookmarkStart w:id="94" w:name="_Hlk147758964"/>
      <w:bookmarkEnd w:id="94"/>
    </w:p>
    <w:p w14:paraId="69F93436" w14:textId="77777777" w:rsidR="008F50C0" w:rsidRPr="005402C9" w:rsidRDefault="008F50C0" w:rsidP="008F50C0">
      <w:pPr>
        <w:contextualSpacing/>
        <w:rPr>
          <w:i/>
        </w:rPr>
      </w:pPr>
    </w:p>
    <w:p w14:paraId="1854F022" w14:textId="4045359D" w:rsidR="008F50C0" w:rsidRPr="005402C9" w:rsidRDefault="00BF335E" w:rsidP="0013489D">
      <w:pPr>
        <w:pStyle w:val="Heading1"/>
        <w:spacing w:after="0" w:line="276" w:lineRule="auto"/>
        <w:ind w:left="0" w:firstLine="0"/>
        <w:jc w:val="both"/>
        <w:rPr>
          <w:color w:val="7030A0"/>
          <w:sz w:val="22"/>
          <w:szCs w:val="22"/>
        </w:rPr>
      </w:pPr>
      <w:bookmarkStart w:id="95" w:name="_Toc150159478"/>
      <w:r w:rsidRPr="005402C9">
        <w:rPr>
          <w:color w:val="7030A0"/>
          <w:sz w:val="22"/>
          <w:szCs w:val="22"/>
        </w:rPr>
        <w:t xml:space="preserve">10. </w:t>
      </w:r>
      <w:r w:rsidR="008F50C0" w:rsidRPr="005402C9">
        <w:rPr>
          <w:color w:val="7030A0"/>
          <w:sz w:val="22"/>
          <w:szCs w:val="22"/>
        </w:rPr>
        <w:t>RESPECTAREA PRINCIPIULUI „DE A NU PREJUDICIA ÎN MOD SEMNIFICATIV (DNSH)”</w:t>
      </w:r>
      <w:bookmarkEnd w:id="95"/>
    </w:p>
    <w:p w14:paraId="1AD22029" w14:textId="77777777" w:rsidR="001C6447" w:rsidRPr="005402C9" w:rsidRDefault="001C6447" w:rsidP="008F50C0">
      <w:pPr>
        <w:contextualSpacing/>
        <w:jc w:val="both"/>
        <w:rPr>
          <w:iCs/>
        </w:rPr>
      </w:pPr>
    </w:p>
    <w:p w14:paraId="7E683E83" w14:textId="0878AFC3" w:rsidR="001C6447" w:rsidRPr="005402C9" w:rsidRDefault="001C6447" w:rsidP="000F6E80">
      <w:pPr>
        <w:spacing w:line="276" w:lineRule="auto"/>
        <w:contextualSpacing/>
        <w:jc w:val="both"/>
        <w:rPr>
          <w:sz w:val="22"/>
          <w:szCs w:val="22"/>
        </w:rPr>
      </w:pPr>
      <w:r w:rsidRPr="005402C9">
        <w:rPr>
          <w:sz w:val="22"/>
          <w:szCs w:val="22"/>
        </w:rPr>
        <w:t>În conformitate cu Regulamentul (UE) nr. 241/2021, principiul DNSH trebuie interpretat în sensul articolului 17 din Regulamentul (UE) nr. 852/2020 privind taxonomia, care definește noțiunea de „a nu prejudicia semnificativ” pentru cele șase obiective de mediu vizate:</w:t>
      </w:r>
    </w:p>
    <w:p w14:paraId="0033154A" w14:textId="4580FB94" w:rsidR="001C6447" w:rsidRPr="005402C9" w:rsidRDefault="001C6447">
      <w:pPr>
        <w:pStyle w:val="ListParagraph"/>
        <w:numPr>
          <w:ilvl w:val="0"/>
          <w:numId w:val="22"/>
        </w:numPr>
        <w:spacing w:line="276" w:lineRule="auto"/>
        <w:jc w:val="both"/>
        <w:rPr>
          <w:rFonts w:ascii="Trebuchet MS" w:hAnsi="Trebuchet MS"/>
          <w:lang w:val="ro-RO"/>
        </w:rPr>
      </w:pPr>
      <w:r w:rsidRPr="005402C9">
        <w:rPr>
          <w:rFonts w:ascii="Trebuchet MS" w:hAnsi="Trebuchet MS"/>
          <w:lang w:val="ro-RO"/>
        </w:rPr>
        <w:t>Se consideră că o activitate prejudiciază în mod semnificativ atenuarea schimbărilor climatice în cazul în care activitatea respectivă generează emisii semnificative de gaze cu efect de seră (GES);</w:t>
      </w:r>
    </w:p>
    <w:p w14:paraId="42C4685D" w14:textId="7EEAE57A" w:rsidR="001C6447" w:rsidRPr="005402C9" w:rsidRDefault="001C6447">
      <w:pPr>
        <w:pStyle w:val="ListParagraph"/>
        <w:numPr>
          <w:ilvl w:val="0"/>
          <w:numId w:val="22"/>
        </w:numPr>
        <w:spacing w:line="276" w:lineRule="auto"/>
        <w:jc w:val="both"/>
        <w:rPr>
          <w:rFonts w:ascii="Trebuchet MS" w:hAnsi="Trebuchet MS"/>
          <w:lang w:val="ro-RO"/>
        </w:rPr>
      </w:pPr>
      <w:r w:rsidRPr="005402C9">
        <w:rPr>
          <w:rFonts w:ascii="Trebuchet MS" w:hAnsi="Trebuchet MS"/>
          <w:lang w:val="ro-RO"/>
        </w:rPr>
        <w:t>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03E47F46" w14:textId="31771847" w:rsidR="001C6447" w:rsidRPr="005402C9" w:rsidRDefault="001C6447">
      <w:pPr>
        <w:pStyle w:val="ListParagraph"/>
        <w:numPr>
          <w:ilvl w:val="0"/>
          <w:numId w:val="22"/>
        </w:numPr>
        <w:spacing w:line="276" w:lineRule="auto"/>
        <w:jc w:val="both"/>
        <w:rPr>
          <w:rFonts w:ascii="Trebuchet MS" w:hAnsi="Trebuchet MS"/>
          <w:lang w:val="ro-RO"/>
        </w:rPr>
      </w:pPr>
      <w:r w:rsidRPr="005402C9">
        <w:rPr>
          <w:rFonts w:ascii="Trebuchet MS" w:hAnsi="Trebuchet MS"/>
          <w:lang w:val="ro-RO"/>
        </w:rPr>
        <w:t>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w:t>
      </w:r>
    </w:p>
    <w:p w14:paraId="6FF346DE" w14:textId="5AB0B2DD" w:rsidR="001C6447" w:rsidRPr="005402C9" w:rsidRDefault="001C6447">
      <w:pPr>
        <w:pStyle w:val="ListParagraph"/>
        <w:numPr>
          <w:ilvl w:val="0"/>
          <w:numId w:val="22"/>
        </w:numPr>
        <w:spacing w:line="276" w:lineRule="auto"/>
        <w:jc w:val="both"/>
        <w:rPr>
          <w:rFonts w:ascii="Trebuchet MS" w:hAnsi="Trebuchet MS"/>
          <w:lang w:val="ro-RO"/>
        </w:rPr>
      </w:pPr>
      <w:r w:rsidRPr="005402C9">
        <w:rPr>
          <w:rFonts w:ascii="Trebuchet MS" w:hAnsi="Trebuchet MS"/>
          <w:lang w:val="ro-RO"/>
        </w:rPr>
        <w:t>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62F29374" w14:textId="02970308" w:rsidR="001C6447" w:rsidRPr="005402C9" w:rsidRDefault="001C6447">
      <w:pPr>
        <w:pStyle w:val="ListParagraph"/>
        <w:numPr>
          <w:ilvl w:val="0"/>
          <w:numId w:val="22"/>
        </w:numPr>
        <w:spacing w:line="276" w:lineRule="auto"/>
        <w:jc w:val="both"/>
        <w:rPr>
          <w:rFonts w:ascii="Trebuchet MS" w:hAnsi="Trebuchet MS"/>
          <w:lang w:val="ro-RO"/>
        </w:rPr>
      </w:pPr>
      <w:r w:rsidRPr="005402C9">
        <w:rPr>
          <w:rFonts w:ascii="Trebuchet MS" w:hAnsi="Trebuchet MS"/>
          <w:lang w:val="ro-RO"/>
        </w:rPr>
        <w:t>Se consideră că o activitate prejudiciază în mod semnificativ prevenirea și controlul poluării în cazul în care activitatea respectivă duce la o creștere semnificativă a emisiilor de poluanți în aer, apă sau sol;</w:t>
      </w:r>
    </w:p>
    <w:p w14:paraId="0F0FBD0F" w14:textId="5A9CC695" w:rsidR="001C6447" w:rsidRPr="005402C9" w:rsidRDefault="001C6447">
      <w:pPr>
        <w:pStyle w:val="ListParagraph"/>
        <w:numPr>
          <w:ilvl w:val="0"/>
          <w:numId w:val="22"/>
        </w:numPr>
        <w:spacing w:line="276" w:lineRule="auto"/>
        <w:jc w:val="both"/>
        <w:rPr>
          <w:rFonts w:ascii="Trebuchet MS" w:hAnsi="Trebuchet MS"/>
          <w:lang w:val="ro-RO"/>
        </w:rPr>
      </w:pPr>
      <w:r w:rsidRPr="005402C9">
        <w:rPr>
          <w:rFonts w:ascii="Trebuchet MS" w:hAnsi="Trebuchet MS"/>
          <w:lang w:val="ro-RO"/>
        </w:rPr>
        <w:lastRenderedPageBreak/>
        <w:t>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DD2A399" w14:textId="77777777" w:rsidR="001C6447" w:rsidRPr="005402C9" w:rsidRDefault="001C6447" w:rsidP="000F6E80">
      <w:pPr>
        <w:spacing w:before="0" w:after="0" w:line="276" w:lineRule="auto"/>
        <w:contextualSpacing/>
        <w:jc w:val="both"/>
        <w:rPr>
          <w:sz w:val="22"/>
          <w:szCs w:val="22"/>
        </w:rPr>
      </w:pPr>
    </w:p>
    <w:p w14:paraId="4C6F4835" w14:textId="1EB9D7FE" w:rsidR="001C6447" w:rsidRPr="005402C9" w:rsidRDefault="001C6447" w:rsidP="000F6E80">
      <w:pPr>
        <w:spacing w:line="276" w:lineRule="auto"/>
        <w:contextualSpacing/>
        <w:jc w:val="both"/>
        <w:rPr>
          <w:sz w:val="22"/>
          <w:szCs w:val="22"/>
        </w:rPr>
      </w:pPr>
      <w:r w:rsidRPr="005402C9">
        <w:rPr>
          <w:sz w:val="22"/>
          <w:szCs w:val="22"/>
        </w:rPr>
        <w:t>Beneficiarii subproiectelor se vor asigura de respectarea principiului DNSH potrivit informațiilor pe care le vor include în acest sens în cererea de finanțare și vor completa acest angajament în Declarația privind respectarea principiului DNSH „a nu prejudicia semnificativ”</w:t>
      </w:r>
    </w:p>
    <w:p w14:paraId="1C1B84A0" w14:textId="77777777" w:rsidR="008F50C0" w:rsidRPr="005402C9" w:rsidRDefault="008F50C0" w:rsidP="000F6E80">
      <w:pPr>
        <w:spacing w:line="276" w:lineRule="auto"/>
        <w:jc w:val="both"/>
        <w:rPr>
          <w:iCs/>
          <w:sz w:val="22"/>
          <w:szCs w:val="22"/>
        </w:rPr>
      </w:pPr>
    </w:p>
    <w:p w14:paraId="3347D255" w14:textId="13303150" w:rsidR="004912BF" w:rsidRPr="005402C9" w:rsidRDefault="008F50C0" w:rsidP="0013489D">
      <w:pPr>
        <w:pStyle w:val="Heading1"/>
        <w:spacing w:after="0" w:line="276" w:lineRule="auto"/>
        <w:ind w:left="0" w:firstLine="0"/>
        <w:jc w:val="both"/>
        <w:rPr>
          <w:color w:val="7030A0"/>
          <w:sz w:val="22"/>
          <w:szCs w:val="22"/>
        </w:rPr>
      </w:pPr>
      <w:bookmarkStart w:id="96" w:name="_Toc150159479"/>
      <w:r w:rsidRPr="005402C9">
        <w:rPr>
          <w:color w:val="7030A0"/>
          <w:sz w:val="22"/>
          <w:szCs w:val="22"/>
        </w:rPr>
        <w:t xml:space="preserve">11. </w:t>
      </w:r>
      <w:r w:rsidR="00420DC0" w:rsidRPr="005402C9">
        <w:rPr>
          <w:color w:val="7030A0"/>
          <w:sz w:val="22"/>
          <w:szCs w:val="22"/>
        </w:rPr>
        <w:t>BENEFICIARUL REAL</w:t>
      </w:r>
      <w:bookmarkEnd w:id="96"/>
    </w:p>
    <w:p w14:paraId="066DFB5C" w14:textId="37CC4A36" w:rsidR="00F066E3" w:rsidRPr="005402C9" w:rsidRDefault="00F066E3" w:rsidP="00F066E3">
      <w:pPr>
        <w:spacing w:line="276" w:lineRule="auto"/>
        <w:jc w:val="both"/>
        <w:rPr>
          <w:sz w:val="22"/>
          <w:szCs w:val="22"/>
        </w:rPr>
      </w:pPr>
      <w:r w:rsidRPr="005402C9">
        <w:rPr>
          <w:sz w:val="22"/>
          <w:szCs w:val="22"/>
        </w:rPr>
        <w:t xml:space="preserve">După semnarea contractului de finanțare, beneficiarii de finanțare din PNRR aferentă </w:t>
      </w:r>
      <w:r w:rsidR="004912BF" w:rsidRPr="005402C9">
        <w:rPr>
          <w:sz w:val="22"/>
          <w:szCs w:val="22"/>
        </w:rPr>
        <w:t>sub</w:t>
      </w:r>
      <w:r w:rsidRPr="005402C9">
        <w:rPr>
          <w:sz w:val="22"/>
          <w:szCs w:val="22"/>
        </w:rPr>
        <w:t xml:space="preserve">proiectelor </w:t>
      </w:r>
      <w:r w:rsidR="004912BF" w:rsidRPr="005402C9">
        <w:rPr>
          <w:sz w:val="22"/>
          <w:szCs w:val="22"/>
        </w:rPr>
        <w:t xml:space="preserve">în cadrul </w:t>
      </w:r>
      <w:r w:rsidRPr="005402C9">
        <w:rPr>
          <w:sz w:val="22"/>
          <w:szCs w:val="22"/>
        </w:rPr>
        <w:t xml:space="preserve">PIIEC, vor colecta și furniza date și informații privind beneficiarii reali ai destinatarilor finali ai fondurilor pentru contractori pe platforma proiecte.pnrr.gov.ro. Totodată, beneficiarii au obligația de a informa MEAT de fiecare dată când are loc o modificare a informațiilor privind beneficiarul real, pe toată durata angajamentelor legal încheiate în cadrul PNRR. </w:t>
      </w:r>
    </w:p>
    <w:p w14:paraId="4450A66E" w14:textId="77777777" w:rsidR="00F066E3" w:rsidRPr="005402C9" w:rsidRDefault="00F066E3" w:rsidP="00F066E3">
      <w:pPr>
        <w:spacing w:line="276" w:lineRule="auto"/>
        <w:jc w:val="both"/>
        <w:rPr>
          <w:sz w:val="22"/>
          <w:szCs w:val="22"/>
        </w:rPr>
      </w:pPr>
      <w:r w:rsidRPr="005402C9">
        <w:rPr>
          <w:sz w:val="22"/>
          <w:szCs w:val="22"/>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https://proiecte.pnrr.gov.ro.</w:t>
      </w:r>
    </w:p>
    <w:p w14:paraId="549A2071" w14:textId="77777777" w:rsidR="00F066E3" w:rsidRPr="005402C9" w:rsidRDefault="00F066E3" w:rsidP="00F066E3">
      <w:pPr>
        <w:spacing w:line="276" w:lineRule="auto"/>
        <w:jc w:val="both"/>
        <w:rPr>
          <w:sz w:val="22"/>
          <w:szCs w:val="22"/>
        </w:rPr>
      </w:pPr>
      <w:r w:rsidRPr="005402C9">
        <w:rPr>
          <w:sz w:val="22"/>
          <w:szCs w:val="22"/>
        </w:rPr>
        <w:t>Beneficiarul are obligația de a permite desfășurarea acțiunilor de monitorizare și control ale MIPE – Coordonator Național, respectiv ale MIPE – Coordonator de reforme și/sau investiții și MEAT – agenție de implementare, cât și a altor autorități naționale și comunitare abilitate, precum și obligația de a pune la dispoziția acestora toate documentele solicitate de acestea.</w:t>
      </w:r>
    </w:p>
    <w:p w14:paraId="0F544D38" w14:textId="77777777" w:rsidR="008620EF" w:rsidRPr="005402C9" w:rsidRDefault="008620EF" w:rsidP="00AB5FF3">
      <w:pPr>
        <w:spacing w:before="0" w:after="0" w:line="276" w:lineRule="auto"/>
        <w:jc w:val="both"/>
        <w:rPr>
          <w:b/>
          <w:i/>
          <w:sz w:val="22"/>
          <w:szCs w:val="22"/>
        </w:rPr>
      </w:pPr>
    </w:p>
    <w:p w14:paraId="125BD1E4" w14:textId="6CC668D9" w:rsidR="008620EF" w:rsidRPr="005402C9" w:rsidRDefault="00F60438" w:rsidP="00AB5FF3">
      <w:pPr>
        <w:spacing w:before="0" w:after="0" w:line="276" w:lineRule="auto"/>
        <w:jc w:val="both"/>
        <w:rPr>
          <w:sz w:val="22"/>
          <w:szCs w:val="22"/>
        </w:rPr>
      </w:pPr>
      <w:bookmarkStart w:id="97" w:name="_3fwokq0"/>
      <w:bookmarkEnd w:id="97"/>
      <w:r w:rsidRPr="005402C9">
        <w:rPr>
          <w:sz w:val="22"/>
          <w:szCs w:val="22"/>
        </w:rPr>
        <w:t>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w:t>
      </w:r>
      <w:r w:rsidR="003F60D3" w:rsidRPr="005402C9">
        <w:rPr>
          <w:sz w:val="22"/>
          <w:szCs w:val="22"/>
        </w:rPr>
        <w:t>,</w:t>
      </w:r>
      <w:r w:rsidRPr="005402C9">
        <w:rPr>
          <w:sz w:val="22"/>
          <w:szCs w:val="22"/>
        </w:rPr>
        <w:t xml:space="preserve"> pentru asigurarea principiului tratamentului nediscriminatoriu al tuturor solicitanților de finanțare. Ministerul Investițiilor și Proiectelor Europene va </w:t>
      </w:r>
      <w:r w:rsidR="003F60D3" w:rsidRPr="005402C9">
        <w:rPr>
          <w:sz w:val="22"/>
          <w:szCs w:val="22"/>
        </w:rPr>
        <w:t xml:space="preserve">putea </w:t>
      </w:r>
      <w:r w:rsidRPr="005402C9">
        <w:rPr>
          <w:sz w:val="22"/>
          <w:szCs w:val="22"/>
        </w:rPr>
        <w:t>emite instrucțiuni în aplicarea prevederilor prezentului ghid. Pentru asigurarea principiului transparenței</w:t>
      </w:r>
      <w:r w:rsidR="005C4077" w:rsidRPr="005402C9">
        <w:rPr>
          <w:sz w:val="22"/>
          <w:szCs w:val="22"/>
        </w:rPr>
        <w:t>,</w:t>
      </w:r>
      <w:r w:rsidRPr="005402C9">
        <w:rPr>
          <w:sz w:val="22"/>
          <w:szCs w:val="22"/>
        </w:rPr>
        <w:t xml:space="preserve"> Ministerul Investițiilor și Proiectelor Europene</w:t>
      </w:r>
      <w:r w:rsidR="005C4077" w:rsidRPr="005402C9">
        <w:rPr>
          <w:sz w:val="22"/>
          <w:szCs w:val="22"/>
        </w:rPr>
        <w:t xml:space="preserve"> și Ministerul Economiei, Antreprenoriatului și Turismului</w:t>
      </w:r>
      <w:r w:rsidRPr="005402C9">
        <w:rPr>
          <w:sz w:val="22"/>
          <w:szCs w:val="22"/>
        </w:rPr>
        <w:t xml:space="preserve"> v</w:t>
      </w:r>
      <w:r w:rsidR="005C4077" w:rsidRPr="005402C9">
        <w:rPr>
          <w:sz w:val="22"/>
          <w:szCs w:val="22"/>
        </w:rPr>
        <w:t>or</w:t>
      </w:r>
      <w:r w:rsidRPr="005402C9">
        <w:rPr>
          <w:sz w:val="22"/>
          <w:szCs w:val="22"/>
        </w:rPr>
        <w:t xml:space="preserve"> publica ordinele de modificare a prezentului ghid pe</w:t>
      </w:r>
      <w:r w:rsidR="003F60D3" w:rsidRPr="005402C9">
        <w:rPr>
          <w:sz w:val="22"/>
          <w:szCs w:val="22"/>
        </w:rPr>
        <w:t xml:space="preserve"> </w:t>
      </w:r>
      <w:r w:rsidRPr="005402C9">
        <w:rPr>
          <w:sz w:val="22"/>
          <w:szCs w:val="22"/>
        </w:rPr>
        <w:t xml:space="preserve">pagina de internet </w:t>
      </w:r>
      <w:hyperlink r:id="rId23" w:history="1">
        <w:r w:rsidR="003F60D3" w:rsidRPr="005402C9">
          <w:rPr>
            <w:rStyle w:val="Hyperlink"/>
            <w:sz w:val="22"/>
            <w:szCs w:val="22"/>
          </w:rPr>
          <w:t>https://mfe.gov.ro/category/anunturi-pnrr/</w:t>
        </w:r>
      </w:hyperlink>
      <w:r w:rsidR="003F60D3" w:rsidRPr="005402C9">
        <w:rPr>
          <w:sz w:val="22"/>
          <w:szCs w:val="22"/>
        </w:rPr>
        <w:t xml:space="preserve"> și pe pagina de internet </w:t>
      </w:r>
      <w:hyperlink r:id="rId24" w:history="1">
        <w:r w:rsidR="003F60D3" w:rsidRPr="005402C9">
          <w:rPr>
            <w:rStyle w:val="Hyperlink"/>
            <w:sz w:val="22"/>
            <w:szCs w:val="22"/>
          </w:rPr>
          <w:t>https://economie.gov.ro/</w:t>
        </w:r>
      </w:hyperlink>
      <w:r w:rsidR="003F60D3" w:rsidRPr="005402C9">
        <w:rPr>
          <w:sz w:val="22"/>
          <w:szCs w:val="22"/>
        </w:rPr>
        <w:t>.</w:t>
      </w:r>
    </w:p>
    <w:p w14:paraId="678FC3A9" w14:textId="77777777" w:rsidR="008620EF" w:rsidRPr="005402C9" w:rsidRDefault="008620EF" w:rsidP="00AB5FF3">
      <w:pPr>
        <w:spacing w:before="0" w:after="0" w:line="276" w:lineRule="auto"/>
        <w:jc w:val="both"/>
        <w:rPr>
          <w:sz w:val="22"/>
          <w:szCs w:val="22"/>
        </w:rPr>
      </w:pPr>
    </w:p>
    <w:p w14:paraId="58B748FC" w14:textId="28FE709D" w:rsidR="00C512BD" w:rsidRPr="005402C9" w:rsidRDefault="00C512BD" w:rsidP="00C512BD">
      <w:pPr>
        <w:pStyle w:val="Heading1"/>
        <w:spacing w:after="0" w:line="276" w:lineRule="auto"/>
        <w:ind w:left="0" w:firstLine="0"/>
        <w:jc w:val="both"/>
        <w:rPr>
          <w:color w:val="7030A0"/>
          <w:sz w:val="22"/>
          <w:szCs w:val="22"/>
        </w:rPr>
      </w:pPr>
      <w:bookmarkStart w:id="98" w:name="_Toc150159480"/>
      <w:r w:rsidRPr="005402C9">
        <w:rPr>
          <w:b w:val="0"/>
          <w:bCs/>
          <w:color w:val="7030A0"/>
          <w:sz w:val="22"/>
          <w:szCs w:val="22"/>
        </w:rPr>
        <w:t>12</w:t>
      </w:r>
      <w:r w:rsidRPr="005402C9">
        <w:rPr>
          <w:color w:val="7030A0"/>
          <w:sz w:val="22"/>
          <w:szCs w:val="22"/>
        </w:rPr>
        <w:t xml:space="preserve">. </w:t>
      </w:r>
      <w:r w:rsidRPr="005402C9">
        <w:rPr>
          <w:b w:val="0"/>
          <w:bCs/>
          <w:color w:val="7030A0"/>
          <w:sz w:val="22"/>
          <w:szCs w:val="22"/>
        </w:rPr>
        <w:t>CONTRIBUȚIA INVESTIȚIEI LA OBIECTIVELE ASUMATE PENTRU REALIZAREA INDICATORILOR DIN DOMENIUL CLIMEI ȘI DIN DOMENIUL DIGITAL</w:t>
      </w:r>
      <w:bookmarkEnd w:id="98"/>
    </w:p>
    <w:p w14:paraId="6A578CE5" w14:textId="77777777" w:rsidR="00632652" w:rsidRPr="005402C9" w:rsidRDefault="00632652" w:rsidP="00AB5FF3">
      <w:pPr>
        <w:spacing w:before="0" w:after="0" w:line="276" w:lineRule="auto"/>
        <w:jc w:val="both"/>
        <w:rPr>
          <w:sz w:val="22"/>
          <w:szCs w:val="22"/>
        </w:rPr>
      </w:pPr>
    </w:p>
    <w:p w14:paraId="76630FD0" w14:textId="4AB7056A" w:rsidR="00C512BD" w:rsidRPr="005402C9" w:rsidRDefault="00632652" w:rsidP="00AB5FF3">
      <w:pPr>
        <w:spacing w:before="0" w:after="0" w:line="276" w:lineRule="auto"/>
        <w:jc w:val="both"/>
        <w:rPr>
          <w:sz w:val="22"/>
          <w:szCs w:val="22"/>
        </w:rPr>
      </w:pPr>
      <w:r w:rsidRPr="005402C9">
        <w:rPr>
          <w:sz w:val="22"/>
          <w:szCs w:val="22"/>
        </w:rPr>
        <w:t>Suma alocată apelului deschis prin prezentul ghid contribuie în proporție de 100% la obiectivele asumate pentru realizarea indicatorilor din domeniul digital.</w:t>
      </w:r>
    </w:p>
    <w:p w14:paraId="4274C105" w14:textId="1EF05778" w:rsidR="008620EF" w:rsidRPr="005402C9" w:rsidRDefault="00F60438" w:rsidP="00AB5FF3">
      <w:pPr>
        <w:pStyle w:val="Heading1"/>
        <w:spacing w:after="0" w:line="276" w:lineRule="auto"/>
        <w:jc w:val="both"/>
        <w:rPr>
          <w:b w:val="0"/>
          <w:bCs/>
          <w:sz w:val="22"/>
          <w:szCs w:val="22"/>
        </w:rPr>
      </w:pPr>
      <w:bookmarkStart w:id="99" w:name="_1v1yuxt"/>
      <w:bookmarkStart w:id="100" w:name="_Toc150159481"/>
      <w:bookmarkEnd w:id="99"/>
      <w:r w:rsidRPr="005402C9">
        <w:rPr>
          <w:b w:val="0"/>
          <w:bCs/>
          <w:color w:val="7030A0"/>
          <w:sz w:val="22"/>
          <w:szCs w:val="22"/>
        </w:rPr>
        <w:t>1</w:t>
      </w:r>
      <w:r w:rsidR="00C512BD" w:rsidRPr="005402C9">
        <w:rPr>
          <w:b w:val="0"/>
          <w:bCs/>
          <w:color w:val="7030A0"/>
          <w:sz w:val="22"/>
          <w:szCs w:val="22"/>
        </w:rPr>
        <w:t>3</w:t>
      </w:r>
      <w:r w:rsidRPr="005402C9">
        <w:rPr>
          <w:b w:val="0"/>
          <w:bCs/>
          <w:color w:val="7030A0"/>
          <w:sz w:val="22"/>
          <w:szCs w:val="22"/>
        </w:rPr>
        <w:t>. ANEXE</w:t>
      </w:r>
      <w:r w:rsidR="00FA554D" w:rsidRPr="005402C9">
        <w:rPr>
          <w:b w:val="0"/>
          <w:bCs/>
          <w:color w:val="7030A0"/>
          <w:sz w:val="22"/>
          <w:szCs w:val="22"/>
        </w:rPr>
        <w:t xml:space="preserve"> LA GHID</w:t>
      </w:r>
      <w:bookmarkEnd w:id="100"/>
    </w:p>
    <w:p w14:paraId="27EF2081" w14:textId="296EE2D8" w:rsidR="003002E7" w:rsidRPr="00F5014D" w:rsidRDefault="003002E7" w:rsidP="003002E7">
      <w:pPr>
        <w:tabs>
          <w:tab w:val="left" w:pos="9163"/>
        </w:tabs>
        <w:spacing w:line="276" w:lineRule="auto"/>
        <w:ind w:left="990" w:right="284"/>
        <w:rPr>
          <w:sz w:val="22"/>
          <w:szCs w:val="22"/>
        </w:rPr>
      </w:pPr>
      <w:r w:rsidRPr="005402C9">
        <w:rPr>
          <w:sz w:val="22"/>
          <w:szCs w:val="22"/>
        </w:rPr>
        <w:t xml:space="preserve">Anexa 1– </w:t>
      </w:r>
      <w:r w:rsidRPr="00F5014D">
        <w:rPr>
          <w:sz w:val="22"/>
          <w:szCs w:val="22"/>
        </w:rPr>
        <w:t xml:space="preserve">Model Cerere de finanțare </w:t>
      </w:r>
    </w:p>
    <w:p w14:paraId="5A0C5219" w14:textId="77777777" w:rsidR="003002E7" w:rsidRPr="00F5014D" w:rsidRDefault="003002E7" w:rsidP="003002E7">
      <w:pPr>
        <w:tabs>
          <w:tab w:val="left" w:pos="9163"/>
        </w:tabs>
        <w:spacing w:line="276" w:lineRule="auto"/>
        <w:ind w:left="990" w:right="284"/>
        <w:rPr>
          <w:sz w:val="22"/>
          <w:szCs w:val="22"/>
        </w:rPr>
      </w:pPr>
      <w:r w:rsidRPr="00F5014D">
        <w:rPr>
          <w:sz w:val="22"/>
          <w:szCs w:val="22"/>
        </w:rPr>
        <w:lastRenderedPageBreak/>
        <w:t xml:space="preserve">Anexa 2 - Formulare anexă la cererea de finanțare: </w:t>
      </w:r>
    </w:p>
    <w:p w14:paraId="25B66818" w14:textId="566D062F" w:rsidR="003002E7" w:rsidRPr="00F5014D" w:rsidRDefault="003002E7">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F5014D">
        <w:rPr>
          <w:rFonts w:ascii="Trebuchet MS" w:hAnsi="Trebuchet MS"/>
          <w:lang w:val="ro-RO"/>
        </w:rPr>
        <w:t>Declarația de angajament</w:t>
      </w:r>
      <w:r w:rsidR="00F5014D" w:rsidRPr="00F5014D">
        <w:rPr>
          <w:rFonts w:ascii="Trebuchet MS" w:hAnsi="Trebuchet MS"/>
          <w:lang w:val="ro-RO"/>
        </w:rPr>
        <w:t xml:space="preserve"> - Model A</w:t>
      </w:r>
      <w:r w:rsidRPr="00F5014D">
        <w:rPr>
          <w:rFonts w:ascii="Trebuchet MS" w:hAnsi="Trebuchet MS"/>
          <w:lang w:val="ro-RO"/>
        </w:rPr>
        <w:t>;</w:t>
      </w:r>
    </w:p>
    <w:p w14:paraId="61C4207B" w14:textId="1E9FB38C" w:rsidR="003002E7" w:rsidRPr="00F5014D" w:rsidRDefault="003002E7">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F5014D">
        <w:rPr>
          <w:rFonts w:ascii="Trebuchet MS" w:hAnsi="Trebuchet MS"/>
          <w:lang w:val="ro-RO"/>
        </w:rPr>
        <w:t>Declarația de eligibilitate</w:t>
      </w:r>
      <w:r w:rsidR="00F5014D" w:rsidRPr="00F5014D">
        <w:rPr>
          <w:rFonts w:ascii="Trebuchet MS" w:hAnsi="Trebuchet MS"/>
          <w:lang w:val="ro-RO"/>
        </w:rPr>
        <w:t xml:space="preserve"> – Model B</w:t>
      </w:r>
      <w:r w:rsidRPr="00F5014D">
        <w:rPr>
          <w:rFonts w:ascii="Trebuchet MS" w:hAnsi="Trebuchet MS"/>
          <w:lang w:val="ro-RO"/>
        </w:rPr>
        <w:t xml:space="preserve">; </w:t>
      </w:r>
    </w:p>
    <w:p w14:paraId="3C1EFEA1" w14:textId="6FB7BA21" w:rsidR="003002E7" w:rsidRPr="00F5014D" w:rsidRDefault="003002E7">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F5014D">
        <w:rPr>
          <w:rFonts w:ascii="Trebuchet MS" w:hAnsi="Trebuchet MS"/>
          <w:lang w:val="ro-RO"/>
        </w:rPr>
        <w:t>Declarația privind eligibilitatea TVA</w:t>
      </w:r>
      <w:r w:rsidR="00F5014D" w:rsidRPr="00F5014D">
        <w:rPr>
          <w:rFonts w:ascii="Trebuchet MS" w:hAnsi="Trebuchet MS"/>
          <w:lang w:val="ro-RO"/>
        </w:rPr>
        <w:t xml:space="preserve"> – Model C</w:t>
      </w:r>
      <w:r w:rsidRPr="00F5014D">
        <w:rPr>
          <w:rFonts w:ascii="Trebuchet MS" w:hAnsi="Trebuchet MS"/>
          <w:lang w:val="ro-RO"/>
        </w:rPr>
        <w:t xml:space="preserve">;  </w:t>
      </w:r>
    </w:p>
    <w:p w14:paraId="0C1B2834" w14:textId="78462CF4" w:rsidR="003002E7" w:rsidRPr="00F5014D" w:rsidRDefault="003002E7">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F5014D">
        <w:rPr>
          <w:rFonts w:ascii="Trebuchet MS" w:hAnsi="Trebuchet MS"/>
          <w:lang w:val="ro-RO"/>
        </w:rPr>
        <w:t>Consimțământ privind prelucrarea datelor cu caracter personal</w:t>
      </w:r>
      <w:r w:rsidR="00F5014D" w:rsidRPr="00F5014D">
        <w:rPr>
          <w:rFonts w:ascii="Trebuchet MS" w:hAnsi="Trebuchet MS"/>
          <w:lang w:val="ro-RO"/>
        </w:rPr>
        <w:t xml:space="preserve"> - Model D</w:t>
      </w:r>
      <w:r w:rsidRPr="00F5014D">
        <w:rPr>
          <w:rFonts w:ascii="Trebuchet MS" w:hAnsi="Trebuchet MS"/>
          <w:lang w:val="ro-RO"/>
        </w:rPr>
        <w:t xml:space="preserve">; </w:t>
      </w:r>
    </w:p>
    <w:p w14:paraId="08E211D6" w14:textId="38722532" w:rsidR="003002E7" w:rsidRPr="00F5014D" w:rsidRDefault="003002E7">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F5014D">
        <w:rPr>
          <w:rFonts w:ascii="Trebuchet MS" w:hAnsi="Trebuchet MS"/>
          <w:lang w:val="ro-RO"/>
        </w:rPr>
        <w:t>Declarația privind evitarea conflictelor de interese, a fraudei, corupției și a dublei finanțări</w:t>
      </w:r>
      <w:r w:rsidR="00F5014D" w:rsidRPr="00F5014D">
        <w:rPr>
          <w:rFonts w:ascii="Trebuchet MS" w:hAnsi="Trebuchet MS"/>
          <w:lang w:val="ro-RO"/>
        </w:rPr>
        <w:t xml:space="preserve"> - Model E;</w:t>
      </w:r>
    </w:p>
    <w:p w14:paraId="63D2E208" w14:textId="103DAC07" w:rsidR="003002E7" w:rsidRDefault="003002E7">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F5014D">
        <w:rPr>
          <w:rFonts w:ascii="Trebuchet MS" w:hAnsi="Trebuchet MS"/>
          <w:lang w:val="ro-RO"/>
        </w:rPr>
        <w:t>Declarația privind respectarea principiului DNSH</w:t>
      </w:r>
      <w:r w:rsidR="00F5014D" w:rsidRPr="00F5014D">
        <w:rPr>
          <w:rFonts w:ascii="Trebuchet MS" w:hAnsi="Trebuchet MS"/>
          <w:lang w:val="ro-RO"/>
        </w:rPr>
        <w:t xml:space="preserve"> - Model F;</w:t>
      </w:r>
    </w:p>
    <w:p w14:paraId="6BCA207E" w14:textId="12074233" w:rsidR="00A27A31" w:rsidRDefault="00A27A31">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A27A31">
        <w:rPr>
          <w:rFonts w:ascii="Trebuchet MS" w:hAnsi="Trebuchet MS"/>
          <w:lang w:val="ro-RO"/>
        </w:rPr>
        <w:t>Declarația pe proprie răspundere privind ajutoarele de stat/ de minimis primite</w:t>
      </w:r>
      <w:r>
        <w:rPr>
          <w:rFonts w:ascii="Trebuchet MS" w:hAnsi="Trebuchet MS"/>
          <w:lang w:val="ro-RO"/>
        </w:rPr>
        <w:t xml:space="preserve"> – Model G;</w:t>
      </w:r>
    </w:p>
    <w:p w14:paraId="74B427ED" w14:textId="77777777" w:rsidR="00A27A31" w:rsidRDefault="00A27A31" w:rsidP="00A27A31">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0C713B">
        <w:rPr>
          <w:rFonts w:ascii="Trebuchet MS" w:hAnsi="Trebuchet MS"/>
          <w:lang w:val="ro-RO"/>
        </w:rPr>
        <w:t>Împuternicire – Model H</w:t>
      </w:r>
      <w:r>
        <w:rPr>
          <w:rFonts w:ascii="Trebuchet MS" w:hAnsi="Trebuchet MS"/>
          <w:lang w:val="ro-RO"/>
        </w:rPr>
        <w:t>;</w:t>
      </w:r>
    </w:p>
    <w:p w14:paraId="2C363BF4" w14:textId="45BB35C3" w:rsidR="003002E7" w:rsidRDefault="00F5014D">
      <w:pPr>
        <w:pStyle w:val="ListParagraph"/>
        <w:numPr>
          <w:ilvl w:val="1"/>
          <w:numId w:val="23"/>
        </w:numPr>
        <w:tabs>
          <w:tab w:val="left" w:pos="9163"/>
        </w:tabs>
        <w:spacing w:before="120" w:after="120" w:line="276" w:lineRule="auto"/>
        <w:ind w:right="284"/>
        <w:textAlignment w:val="auto"/>
        <w:rPr>
          <w:rFonts w:ascii="Trebuchet MS" w:hAnsi="Trebuchet MS"/>
          <w:lang w:val="ro-RO"/>
        </w:rPr>
      </w:pPr>
      <w:r w:rsidRPr="00F5014D">
        <w:rPr>
          <w:rFonts w:ascii="Trebuchet MS" w:hAnsi="Trebuchet MS"/>
          <w:lang w:val="ro-RO"/>
        </w:rPr>
        <w:t>Acord de colaborare cu un</w:t>
      </w:r>
      <w:r w:rsidR="006E581A">
        <w:rPr>
          <w:rFonts w:ascii="Trebuchet MS" w:hAnsi="Trebuchet MS"/>
          <w:lang w:val="ro-RO"/>
        </w:rPr>
        <w:t xml:space="preserve"> </w:t>
      </w:r>
      <w:r w:rsidRPr="00F5014D">
        <w:rPr>
          <w:rFonts w:ascii="Trebuchet MS" w:hAnsi="Trebuchet MS"/>
          <w:lang w:val="ro-RO"/>
        </w:rPr>
        <w:t>participan</w:t>
      </w:r>
      <w:r w:rsidR="006E581A">
        <w:rPr>
          <w:rFonts w:ascii="Trebuchet MS" w:hAnsi="Trebuchet MS"/>
          <w:lang w:val="ro-RO"/>
        </w:rPr>
        <w:t>t</w:t>
      </w:r>
      <w:r w:rsidRPr="00F5014D">
        <w:rPr>
          <w:rFonts w:ascii="Trebuchet MS" w:hAnsi="Trebuchet MS"/>
          <w:lang w:val="ro-RO"/>
        </w:rPr>
        <w:t xml:space="preserve"> direc</w:t>
      </w:r>
      <w:r w:rsidR="006E581A">
        <w:rPr>
          <w:rFonts w:ascii="Trebuchet MS" w:hAnsi="Trebuchet MS"/>
          <w:lang w:val="ro-RO"/>
        </w:rPr>
        <w:t>t</w:t>
      </w:r>
      <w:r w:rsidRPr="00F5014D">
        <w:rPr>
          <w:rFonts w:ascii="Trebuchet MS" w:hAnsi="Trebuchet MS"/>
          <w:lang w:val="ro-RO"/>
        </w:rPr>
        <w:t xml:space="preserve"> -Model </w:t>
      </w:r>
      <w:r w:rsidR="00A27A31">
        <w:rPr>
          <w:rFonts w:ascii="Trebuchet MS" w:hAnsi="Trebuchet MS"/>
          <w:lang w:val="ro-RO"/>
        </w:rPr>
        <w:t>I</w:t>
      </w:r>
      <w:r w:rsidR="000C713B">
        <w:rPr>
          <w:rFonts w:ascii="Trebuchet MS" w:hAnsi="Trebuchet MS"/>
          <w:lang w:val="ro-RO"/>
        </w:rPr>
        <w:t>;</w:t>
      </w:r>
    </w:p>
    <w:p w14:paraId="37A6BA76" w14:textId="77777777" w:rsidR="003002E7" w:rsidRPr="005402C9" w:rsidRDefault="003002E7" w:rsidP="003002E7">
      <w:pPr>
        <w:pStyle w:val="ListParagraph"/>
        <w:tabs>
          <w:tab w:val="left" w:pos="1800"/>
        </w:tabs>
        <w:spacing w:before="120" w:after="120" w:line="276" w:lineRule="auto"/>
        <w:ind w:left="1350" w:right="284"/>
        <w:rPr>
          <w:rFonts w:ascii="Trebuchet MS" w:hAnsi="Trebuchet MS"/>
          <w:lang w:val="ro-RO"/>
        </w:rPr>
      </w:pPr>
    </w:p>
    <w:p w14:paraId="124C0AE6" w14:textId="486012F7" w:rsidR="003002E7" w:rsidRPr="005402C9" w:rsidRDefault="003002E7" w:rsidP="003002E7">
      <w:pPr>
        <w:tabs>
          <w:tab w:val="left" w:pos="9163"/>
        </w:tabs>
        <w:spacing w:line="276" w:lineRule="auto"/>
        <w:ind w:left="990" w:right="284"/>
        <w:rPr>
          <w:sz w:val="22"/>
          <w:szCs w:val="22"/>
        </w:rPr>
      </w:pPr>
      <w:r w:rsidRPr="005402C9">
        <w:rPr>
          <w:sz w:val="22"/>
          <w:szCs w:val="22"/>
        </w:rPr>
        <w:t xml:space="preserve">Anexa 3 – </w:t>
      </w:r>
      <w:r w:rsidR="00020233" w:rsidRPr="005402C9">
        <w:rPr>
          <w:sz w:val="22"/>
          <w:szCs w:val="22"/>
        </w:rPr>
        <w:t xml:space="preserve">Grila de evaluare CAE </w:t>
      </w:r>
    </w:p>
    <w:p w14:paraId="0A4ADEB8" w14:textId="28C467B9" w:rsidR="003002E7" w:rsidRPr="005402C9" w:rsidRDefault="003002E7" w:rsidP="003002E7">
      <w:pPr>
        <w:tabs>
          <w:tab w:val="left" w:pos="9163"/>
        </w:tabs>
        <w:spacing w:line="276" w:lineRule="auto"/>
        <w:ind w:left="990" w:right="284"/>
        <w:rPr>
          <w:sz w:val="22"/>
          <w:szCs w:val="22"/>
        </w:rPr>
      </w:pPr>
      <w:r w:rsidRPr="005402C9">
        <w:rPr>
          <w:sz w:val="22"/>
          <w:szCs w:val="22"/>
        </w:rPr>
        <w:t xml:space="preserve">Anexa 4 - </w:t>
      </w:r>
      <w:r w:rsidR="00020233" w:rsidRPr="005402C9">
        <w:rPr>
          <w:sz w:val="22"/>
          <w:szCs w:val="22"/>
        </w:rPr>
        <w:t>Model contract de finanțare</w:t>
      </w:r>
    </w:p>
    <w:p w14:paraId="6DD00E59" w14:textId="77777777" w:rsidR="003002E7" w:rsidRDefault="003002E7" w:rsidP="003002E7">
      <w:pPr>
        <w:tabs>
          <w:tab w:val="left" w:pos="9163"/>
        </w:tabs>
        <w:spacing w:line="276" w:lineRule="auto"/>
        <w:ind w:left="990" w:right="284"/>
        <w:rPr>
          <w:sz w:val="22"/>
          <w:szCs w:val="22"/>
        </w:rPr>
      </w:pPr>
      <w:r w:rsidRPr="005402C9">
        <w:rPr>
          <w:sz w:val="22"/>
          <w:szCs w:val="22"/>
        </w:rPr>
        <w:t>Anexa 5 – Model Convenția de avans</w:t>
      </w:r>
    </w:p>
    <w:p w14:paraId="5DC95BA2" w14:textId="61E6B50D" w:rsidR="00F5014D" w:rsidRPr="005402C9" w:rsidRDefault="003A6A96" w:rsidP="003002E7">
      <w:pPr>
        <w:tabs>
          <w:tab w:val="left" w:pos="9163"/>
        </w:tabs>
        <w:spacing w:line="276" w:lineRule="auto"/>
        <w:ind w:left="990" w:right="284"/>
        <w:rPr>
          <w:sz w:val="22"/>
          <w:szCs w:val="22"/>
        </w:rPr>
      </w:pPr>
      <w:r>
        <w:rPr>
          <w:sz w:val="22"/>
          <w:szCs w:val="22"/>
        </w:rPr>
        <w:t>Anexa 6 – Raportarea indicatorilor comuni</w:t>
      </w:r>
    </w:p>
    <w:p w14:paraId="0C472500" w14:textId="77777777" w:rsidR="003002E7" w:rsidRPr="005402C9" w:rsidRDefault="003002E7" w:rsidP="00AB5FF3">
      <w:pPr>
        <w:spacing w:line="276" w:lineRule="auto"/>
        <w:jc w:val="both"/>
        <w:rPr>
          <w:sz w:val="22"/>
          <w:szCs w:val="22"/>
        </w:rPr>
      </w:pPr>
    </w:p>
    <w:p w14:paraId="7810C78C" w14:textId="77777777" w:rsidR="008620EF" w:rsidRPr="005402C9" w:rsidRDefault="008620EF" w:rsidP="00AB5FF3">
      <w:pPr>
        <w:spacing w:line="276" w:lineRule="auto"/>
        <w:jc w:val="both"/>
        <w:rPr>
          <w:sz w:val="22"/>
          <w:szCs w:val="22"/>
        </w:rPr>
      </w:pPr>
    </w:p>
    <w:sectPr w:rsidR="008620EF" w:rsidRPr="005402C9" w:rsidSect="005F2418">
      <w:headerReference w:type="default" r:id="rId25"/>
      <w:footerReference w:type="even" r:id="rId26"/>
      <w:footerReference w:type="default" r:id="rId27"/>
      <w:headerReference w:type="first" r:id="rId28"/>
      <w:pgSz w:w="11906" w:h="16838"/>
      <w:pgMar w:top="1134" w:right="836" w:bottom="540" w:left="1418" w:header="425" w:footer="95" w:gutter="0"/>
      <w:pgNumType w:start="1"/>
      <w:cols w:space="720"/>
      <w:formProt w:val="0"/>
      <w:titlePg/>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6B12A" w14:textId="77777777" w:rsidR="009F6B35" w:rsidRDefault="009F6B35">
      <w:pPr>
        <w:spacing w:before="0" w:after="0"/>
      </w:pPr>
      <w:r>
        <w:separator/>
      </w:r>
    </w:p>
  </w:endnote>
  <w:endnote w:type="continuationSeparator" w:id="0">
    <w:p w14:paraId="70077D56" w14:textId="77777777" w:rsidR="009F6B35" w:rsidRDefault="009F6B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9AC8" w14:textId="77777777" w:rsidR="008620EF" w:rsidRDefault="00F60438">
    <w:pPr>
      <w:tabs>
        <w:tab w:val="center" w:pos="4320"/>
        <w:tab w:val="right" w:pos="8640"/>
      </w:tabs>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color w:val="000000"/>
        <w:sz w:val="24"/>
        <w:szCs w:val="24"/>
      </w:rPr>
      <w:t>0</w:t>
    </w:r>
    <w:r>
      <w:rPr>
        <w:color w:val="000000"/>
        <w:sz w:val="24"/>
        <w:szCs w:val="24"/>
      </w:rPr>
      <w:fldChar w:fldCharType="end"/>
    </w:r>
  </w:p>
  <w:p w14:paraId="3291E1F1" w14:textId="77777777" w:rsidR="008620EF" w:rsidRDefault="008620EF">
    <w:pP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3269F" w14:textId="77777777" w:rsidR="008620EF" w:rsidRDefault="008620EF">
    <w:pPr>
      <w:widowControl w:val="0"/>
      <w:spacing w:before="0" w:after="0" w:line="276" w:lineRule="auto"/>
      <w:rPr>
        <w:sz w:val="16"/>
        <w:szCs w:val="16"/>
      </w:rPr>
    </w:pPr>
  </w:p>
  <w:tbl>
    <w:tblPr>
      <w:tblW w:w="8820" w:type="dxa"/>
      <w:tblInd w:w="108" w:type="dxa"/>
      <w:tblLayout w:type="fixed"/>
      <w:tblLook w:val="0000" w:firstRow="0" w:lastRow="0" w:firstColumn="0" w:lastColumn="0" w:noHBand="0" w:noVBand="0"/>
    </w:tblPr>
    <w:tblGrid>
      <w:gridCol w:w="8820"/>
    </w:tblGrid>
    <w:tr w:rsidR="008620EF" w14:paraId="73AF7365" w14:textId="77777777">
      <w:trPr>
        <w:cantSplit/>
      </w:trPr>
      <w:tc>
        <w:tcPr>
          <w:tcW w:w="8820" w:type="dxa"/>
          <w:tcBorders>
            <w:top w:val="single" w:sz="4" w:space="0" w:color="808080"/>
          </w:tcBorders>
        </w:tcPr>
        <w:p w14:paraId="2D5D69C5" w14:textId="77777777" w:rsidR="008620EF" w:rsidRDefault="00F60438">
          <w:pPr>
            <w:widowControl w:val="0"/>
            <w:tabs>
              <w:tab w:val="left" w:pos="3516"/>
              <w:tab w:val="center" w:pos="4302"/>
              <w:tab w:val="center" w:pos="4320"/>
              <w:tab w:val="right" w:pos="8640"/>
            </w:tabs>
            <w:spacing w:before="0" w:after="0"/>
            <w:rPr>
              <w:color w:val="808080"/>
              <w:sz w:val="14"/>
              <w:szCs w:val="14"/>
            </w:rPr>
          </w:pPr>
          <w:r>
            <w:rPr>
              <w:color w:val="808080"/>
              <w:sz w:val="14"/>
              <w:szCs w:val="14"/>
            </w:rPr>
            <w:tab/>
          </w:r>
          <w:r>
            <w:rPr>
              <w:color w:val="808080"/>
              <w:sz w:val="14"/>
              <w:szCs w:val="14"/>
            </w:rPr>
            <w:tab/>
          </w:r>
          <w:r>
            <w:rPr>
              <w:color w:val="808080"/>
              <w:sz w:val="14"/>
              <w:szCs w:val="14"/>
            </w:rPr>
            <w:fldChar w:fldCharType="begin"/>
          </w:r>
          <w:r>
            <w:rPr>
              <w:color w:val="808080"/>
              <w:sz w:val="14"/>
              <w:szCs w:val="14"/>
            </w:rPr>
            <w:instrText>PAGE</w:instrText>
          </w:r>
          <w:r>
            <w:rPr>
              <w:color w:val="808080"/>
              <w:sz w:val="14"/>
              <w:szCs w:val="14"/>
            </w:rPr>
            <w:fldChar w:fldCharType="separate"/>
          </w:r>
          <w:r>
            <w:rPr>
              <w:color w:val="808080"/>
              <w:sz w:val="14"/>
              <w:szCs w:val="14"/>
            </w:rPr>
            <w:t>11</w:t>
          </w:r>
          <w:r>
            <w:rPr>
              <w:color w:val="808080"/>
              <w:sz w:val="14"/>
              <w:szCs w:val="14"/>
            </w:rPr>
            <w:fldChar w:fldCharType="end"/>
          </w:r>
        </w:p>
      </w:tc>
    </w:tr>
  </w:tbl>
  <w:p w14:paraId="2CEAD8D0" w14:textId="77777777" w:rsidR="008620EF" w:rsidRDefault="008620EF">
    <w:pPr>
      <w:tabs>
        <w:tab w:val="center" w:pos="4320"/>
        <w:tab w:val="right" w:pos="8640"/>
      </w:tabs>
      <w:ind w:right="360" w:firstLine="360"/>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51172" w14:textId="77777777" w:rsidR="009F6B35" w:rsidRDefault="009F6B35">
      <w:pPr>
        <w:rPr>
          <w:sz w:val="12"/>
        </w:rPr>
      </w:pPr>
      <w:r>
        <w:separator/>
      </w:r>
    </w:p>
  </w:footnote>
  <w:footnote w:type="continuationSeparator" w:id="0">
    <w:p w14:paraId="36FAF854" w14:textId="77777777" w:rsidR="009F6B35" w:rsidRDefault="009F6B35">
      <w:pPr>
        <w:rPr>
          <w:sz w:val="12"/>
        </w:rPr>
      </w:pPr>
      <w:r>
        <w:continuationSeparator/>
      </w:r>
    </w:p>
  </w:footnote>
  <w:footnote w:id="1">
    <w:p w14:paraId="5F6844AD" w14:textId="08ED35C7" w:rsidR="00873948" w:rsidRDefault="00873948" w:rsidP="00873948">
      <w:pPr>
        <w:pStyle w:val="FootnoteText"/>
        <w:tabs>
          <w:tab w:val="left" w:pos="450"/>
        </w:tabs>
        <w:ind w:left="450"/>
      </w:pPr>
      <w:r>
        <w:rPr>
          <w:rStyle w:val="FootnoteReference"/>
        </w:rPr>
        <w:footnoteRef/>
      </w:r>
      <w:r>
        <w:t xml:space="preserve"> </w:t>
      </w:r>
      <w:bookmarkStart w:id="39" w:name="_Hlk150427410"/>
      <w:r>
        <w:t>Potrivit Manualului Fr</w:t>
      </w:r>
      <w:r w:rsidR="00D342B6">
        <w:t>a</w:t>
      </w:r>
      <w:r>
        <w:t xml:space="preserve">scati 2015, </w:t>
      </w:r>
      <w:r w:rsidRPr="00025210">
        <w:t>Orientări pentru colectarea și raportarea datelor privind cercetarea și dezvoltarea experimentală</w:t>
      </w:r>
      <w:r w:rsidR="00B07C8C">
        <w:t xml:space="preserve">, </w:t>
      </w:r>
      <w:hyperlink r:id="rId1" w:history="1">
        <w:r w:rsidR="00B07C8C" w:rsidRPr="005D7D68">
          <w:rPr>
            <w:rStyle w:val="Hyperlink"/>
          </w:rPr>
          <w:t>https://www.oecd.org/innovation/frascati-manual-2015-9789264239012-en.htm</w:t>
        </w:r>
      </w:hyperlink>
      <w:r w:rsidR="00B07C8C">
        <w:t xml:space="preserve"> </w:t>
      </w:r>
      <w:bookmarkEnd w:id="39"/>
    </w:p>
  </w:footnote>
  <w:footnote w:id="2">
    <w:p w14:paraId="5F8E4AF7" w14:textId="4A5C705A" w:rsidR="00C3251F" w:rsidRDefault="00C3251F">
      <w:pPr>
        <w:pStyle w:val="FootnoteText"/>
      </w:pPr>
      <w:r>
        <w:rPr>
          <w:rStyle w:val="FootnoteReference"/>
        </w:rPr>
        <w:footnoteRef/>
      </w:r>
      <w:r>
        <w:t xml:space="preserve"> Entități autorizate înscrise în ”</w:t>
      </w:r>
      <w:r w:rsidRPr="00C3251F">
        <w:t>Registrul societăților de asigurare și al intermediarilor principali</w:t>
      </w:r>
      <w:r>
        <w:t xml:space="preserve">”, </w:t>
      </w:r>
      <w:hyperlink r:id="rId2" w:history="1">
        <w:r w:rsidRPr="005D3E32">
          <w:rPr>
            <w:rStyle w:val="Hyperlink"/>
          </w:rPr>
          <w:t>https://www.asfromania.ro/app.php/ro/a/1542/asigur%C4%83tori-%C8%99i-intermediari-principali</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643C1" w14:textId="77777777" w:rsidR="008620EF" w:rsidRDefault="008620EF">
    <w:pPr>
      <w:spacing w:before="0" w:after="0"/>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BD379" w14:textId="77777777" w:rsidR="008620EF" w:rsidRDefault="00F60438">
    <w:pPr>
      <w:widowControl w:val="0"/>
      <w:spacing w:before="0" w:after="0" w:line="276" w:lineRule="auto"/>
      <w:jc w:val="both"/>
      <w:rPr>
        <w:rFonts w:ascii="Times New Roman" w:eastAsia="Times New Roman" w:hAnsi="Times New Roman" w:cs="Times New Roman"/>
      </w:rPr>
    </w:pPr>
    <w:r>
      <w:rPr>
        <w:noProof/>
      </w:rPr>
      <w:drawing>
        <wp:inline distT="0" distB="0" distL="0" distR="0" wp14:anchorId="121A1FD7" wp14:editId="0F443D1F">
          <wp:extent cx="6108065" cy="746125"/>
          <wp:effectExtent l="0" t="0" r="0" b="0"/>
          <wp:docPr id="326745376" name="Picture 326745376"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descr="cid:image001.png@01D8D7F0.5327F4C0"/>
                  <pic:cNvPicPr>
                    <a:picLocks noChangeAspect="1" noChangeArrowheads="1"/>
                  </pic:cNvPicPr>
                </pic:nvPicPr>
                <pic:blipFill>
                  <a:blip r:embed="rId1"/>
                  <a:stretch>
                    <a:fillRect/>
                  </a:stretch>
                </pic:blipFill>
                <pic:spPr bwMode="auto">
                  <a:xfrm>
                    <a:off x="0" y="0"/>
                    <a:ext cx="6108065" cy="746125"/>
                  </a:xfrm>
                  <a:prstGeom prst="rect">
                    <a:avLst/>
                  </a:prstGeom>
                </pic:spPr>
              </pic:pic>
            </a:graphicData>
          </a:graphic>
        </wp:inline>
      </w:drawing>
    </w:r>
  </w:p>
  <w:tbl>
    <w:tblPr>
      <w:tblW w:w="11435" w:type="dxa"/>
      <w:tblLayout w:type="fixed"/>
      <w:tblLook w:val="0000" w:firstRow="0" w:lastRow="0" w:firstColumn="0" w:lastColumn="0" w:noHBand="0" w:noVBand="0"/>
    </w:tblPr>
    <w:tblGrid>
      <w:gridCol w:w="10935"/>
      <w:gridCol w:w="248"/>
      <w:gridCol w:w="252"/>
    </w:tblGrid>
    <w:tr w:rsidR="008620EF" w14:paraId="16B20F4D" w14:textId="77777777">
      <w:tc>
        <w:tcPr>
          <w:tcW w:w="10935" w:type="dxa"/>
          <w:vAlign w:val="center"/>
        </w:tcPr>
        <w:p w14:paraId="3F8CB0BC" w14:textId="77777777" w:rsidR="008620EF" w:rsidRDefault="008620EF">
          <w:pPr>
            <w:widowControl w:val="0"/>
            <w:tabs>
              <w:tab w:val="center" w:pos="4320"/>
              <w:tab w:val="right" w:pos="8640"/>
            </w:tabs>
            <w:jc w:val="right"/>
            <w:rPr>
              <w:color w:val="000000"/>
              <w:sz w:val="24"/>
              <w:szCs w:val="24"/>
            </w:rPr>
          </w:pPr>
        </w:p>
      </w:tc>
      <w:tc>
        <w:tcPr>
          <w:tcW w:w="248" w:type="dxa"/>
          <w:vAlign w:val="center"/>
        </w:tcPr>
        <w:p w14:paraId="1364E5BB" w14:textId="77777777" w:rsidR="008620EF" w:rsidRDefault="008620EF">
          <w:pPr>
            <w:widowControl w:val="0"/>
            <w:spacing w:before="0" w:after="0"/>
            <w:jc w:val="center"/>
          </w:pPr>
        </w:p>
      </w:tc>
      <w:tc>
        <w:tcPr>
          <w:tcW w:w="252" w:type="dxa"/>
          <w:vAlign w:val="center"/>
        </w:tcPr>
        <w:p w14:paraId="20CDEAB6" w14:textId="77777777" w:rsidR="008620EF" w:rsidRDefault="008620EF">
          <w:pPr>
            <w:widowControl w:val="0"/>
            <w:spacing w:before="0" w:after="0"/>
            <w:jc w:val="right"/>
          </w:pPr>
        </w:p>
      </w:tc>
    </w:tr>
  </w:tbl>
  <w:p w14:paraId="4801C5E1" w14:textId="77777777" w:rsidR="008620EF" w:rsidRDefault="008620EF">
    <w:pPr>
      <w:tabs>
        <w:tab w:val="center" w:pos="4320"/>
        <w:tab w:val="right" w:pos="8640"/>
      </w:tabs>
      <w:rPr>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1BAD"/>
    <w:multiLevelType w:val="hybridMultilevel"/>
    <w:tmpl w:val="FEB86EBE"/>
    <w:lvl w:ilvl="0" w:tplc="0409000F">
      <w:start w:val="1"/>
      <w:numFmt w:val="decimal"/>
      <w:lvlText w:val="%1."/>
      <w:lvlJc w:val="left"/>
      <w:pPr>
        <w:ind w:left="19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 w15:restartNumberingAfterBreak="0">
    <w:nsid w:val="09663F3A"/>
    <w:multiLevelType w:val="multilevel"/>
    <w:tmpl w:val="9968A58A"/>
    <w:lvl w:ilvl="0">
      <w:start w:val="1"/>
      <w:numFmt w:val="bullet"/>
      <w:lvlText w:val=""/>
      <w:lvlJc w:val="left"/>
      <w:pPr>
        <w:tabs>
          <w:tab w:val="num" w:pos="360"/>
        </w:tabs>
        <w:ind w:left="1080" w:hanging="360"/>
      </w:pPr>
      <w:rPr>
        <w:rFonts w:ascii="Wingdings" w:hAnsi="Wingdings" w:hint="default"/>
      </w:rPr>
    </w:lvl>
    <w:lvl w:ilvl="1">
      <w:start w:val="1"/>
      <w:numFmt w:val="bullet"/>
      <w:lvlText w:val="o"/>
      <w:lvlJc w:val="left"/>
      <w:pPr>
        <w:tabs>
          <w:tab w:val="num" w:pos="360"/>
        </w:tabs>
        <w:ind w:left="1800" w:hanging="360"/>
      </w:pPr>
      <w:rPr>
        <w:rFonts w:ascii="Courier New" w:hAnsi="Courier New" w:cs="Courier New" w:hint="default"/>
      </w:rPr>
    </w:lvl>
    <w:lvl w:ilvl="2">
      <w:start w:val="1"/>
      <w:numFmt w:val="bullet"/>
      <w:lvlText w:val=""/>
      <w:lvlJc w:val="left"/>
      <w:pPr>
        <w:tabs>
          <w:tab w:val="num" w:pos="360"/>
        </w:tabs>
        <w:ind w:left="2520" w:hanging="360"/>
      </w:pPr>
      <w:rPr>
        <w:rFonts w:ascii="Wingdings" w:hAnsi="Wingdings" w:cs="Wingdings" w:hint="default"/>
      </w:rPr>
    </w:lvl>
    <w:lvl w:ilvl="3">
      <w:start w:val="1"/>
      <w:numFmt w:val="bullet"/>
      <w:lvlText w:val=""/>
      <w:lvlJc w:val="left"/>
      <w:pPr>
        <w:tabs>
          <w:tab w:val="num" w:pos="360"/>
        </w:tabs>
        <w:ind w:left="3240" w:hanging="360"/>
      </w:pPr>
      <w:rPr>
        <w:rFonts w:ascii="Symbol" w:hAnsi="Symbol" w:cs="Symbol" w:hint="default"/>
      </w:rPr>
    </w:lvl>
    <w:lvl w:ilvl="4">
      <w:start w:val="1"/>
      <w:numFmt w:val="bullet"/>
      <w:lvlText w:val="o"/>
      <w:lvlJc w:val="left"/>
      <w:pPr>
        <w:tabs>
          <w:tab w:val="num" w:pos="360"/>
        </w:tabs>
        <w:ind w:left="3960" w:hanging="360"/>
      </w:pPr>
      <w:rPr>
        <w:rFonts w:ascii="Courier New" w:hAnsi="Courier New" w:cs="Courier New" w:hint="default"/>
      </w:rPr>
    </w:lvl>
    <w:lvl w:ilvl="5">
      <w:start w:val="1"/>
      <w:numFmt w:val="bullet"/>
      <w:lvlText w:val=""/>
      <w:lvlJc w:val="left"/>
      <w:pPr>
        <w:tabs>
          <w:tab w:val="num" w:pos="360"/>
        </w:tabs>
        <w:ind w:left="4680" w:hanging="360"/>
      </w:pPr>
      <w:rPr>
        <w:rFonts w:ascii="Wingdings" w:hAnsi="Wingdings" w:cs="Wingdings" w:hint="default"/>
      </w:rPr>
    </w:lvl>
    <w:lvl w:ilvl="6">
      <w:start w:val="1"/>
      <w:numFmt w:val="bullet"/>
      <w:lvlText w:val=""/>
      <w:lvlJc w:val="left"/>
      <w:pPr>
        <w:tabs>
          <w:tab w:val="num" w:pos="360"/>
        </w:tabs>
        <w:ind w:left="5400" w:hanging="360"/>
      </w:pPr>
      <w:rPr>
        <w:rFonts w:ascii="Symbol" w:hAnsi="Symbol" w:cs="Symbol" w:hint="default"/>
      </w:rPr>
    </w:lvl>
    <w:lvl w:ilvl="7">
      <w:start w:val="1"/>
      <w:numFmt w:val="bullet"/>
      <w:lvlText w:val="o"/>
      <w:lvlJc w:val="left"/>
      <w:pPr>
        <w:tabs>
          <w:tab w:val="num" w:pos="360"/>
        </w:tabs>
        <w:ind w:left="6120" w:hanging="360"/>
      </w:pPr>
      <w:rPr>
        <w:rFonts w:ascii="Courier New" w:hAnsi="Courier New" w:cs="Courier New" w:hint="default"/>
      </w:rPr>
    </w:lvl>
    <w:lvl w:ilvl="8">
      <w:start w:val="1"/>
      <w:numFmt w:val="bullet"/>
      <w:lvlText w:val=""/>
      <w:lvlJc w:val="left"/>
      <w:pPr>
        <w:tabs>
          <w:tab w:val="num" w:pos="360"/>
        </w:tabs>
        <w:ind w:left="6840" w:hanging="360"/>
      </w:pPr>
      <w:rPr>
        <w:rFonts w:ascii="Wingdings" w:hAnsi="Wingdings" w:cs="Wingdings" w:hint="default"/>
      </w:rPr>
    </w:lvl>
  </w:abstractNum>
  <w:abstractNum w:abstractNumId="2" w15:restartNumberingAfterBreak="0">
    <w:nsid w:val="0BCF42AA"/>
    <w:multiLevelType w:val="hybridMultilevel"/>
    <w:tmpl w:val="D36A2446"/>
    <w:lvl w:ilvl="0" w:tplc="6D9A46DC">
      <w:start w:val="1"/>
      <w:numFmt w:val="decimal"/>
      <w:lvlText w:val="%1.2.1"/>
      <w:lvlJc w:val="left"/>
      <w:pPr>
        <w:ind w:left="360" w:hanging="360"/>
      </w:pPr>
      <w:rPr>
        <w:rFonts w:ascii="Trebuchet MS" w:hAnsi="Trebuchet M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4E1C0A"/>
    <w:multiLevelType w:val="hybridMultilevel"/>
    <w:tmpl w:val="A6F2458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F5820"/>
    <w:multiLevelType w:val="hybridMultilevel"/>
    <w:tmpl w:val="35A438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8773D0"/>
    <w:multiLevelType w:val="hybridMultilevel"/>
    <w:tmpl w:val="84762C6E"/>
    <w:lvl w:ilvl="0" w:tplc="BBFA17F4">
      <w:start w:val="1"/>
      <w:numFmt w:val="lowerRoman"/>
      <w:lvlText w:val="%1."/>
      <w:lvlJc w:val="right"/>
      <w:pPr>
        <w:ind w:left="1080" w:hanging="360"/>
      </w:pPr>
      <w:rPr>
        <w:rFonts w:ascii="Trebuchet MS" w:hAnsi="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697A6D"/>
    <w:multiLevelType w:val="hybridMultilevel"/>
    <w:tmpl w:val="A162AD52"/>
    <w:lvl w:ilvl="0" w:tplc="0409001B">
      <w:start w:val="1"/>
      <w:numFmt w:val="lowerRoman"/>
      <w:lvlText w:val="%1."/>
      <w:lvlJc w:val="right"/>
      <w:pPr>
        <w:ind w:left="1080" w:hanging="360"/>
      </w:pPr>
      <w:rPr>
        <w:rFonts w:hint="default"/>
        <w:color w:val="auto"/>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28C477A"/>
    <w:multiLevelType w:val="hybridMultilevel"/>
    <w:tmpl w:val="C2DC1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8161EC"/>
    <w:multiLevelType w:val="hybridMultilevel"/>
    <w:tmpl w:val="D92039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932F3F"/>
    <w:multiLevelType w:val="hybridMultilevel"/>
    <w:tmpl w:val="2D36CE8E"/>
    <w:lvl w:ilvl="0" w:tplc="4B3CAFEA">
      <w:numFmt w:val="bullet"/>
      <w:lvlText w:val="-"/>
      <w:lvlJc w:val="left"/>
      <w:pPr>
        <w:ind w:left="720" w:hanging="360"/>
      </w:pPr>
      <w:rPr>
        <w:rFonts w:ascii="Trebuchet MS" w:eastAsiaTheme="minorHAnsi" w:hAnsi="Trebuchet M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CB4037"/>
    <w:multiLevelType w:val="multilevel"/>
    <w:tmpl w:val="70FC0DB4"/>
    <w:lvl w:ilvl="0">
      <w:start w:val="1"/>
      <w:numFmt w:val="lowerLetter"/>
      <w:lvlText w:val="%1."/>
      <w:lvlJc w:val="left"/>
      <w:pPr>
        <w:tabs>
          <w:tab w:val="num" w:pos="0"/>
        </w:tabs>
        <w:ind w:left="720" w:hanging="360"/>
      </w:pPr>
      <w:rPr>
        <w:rFonts w:ascii="Trebuchet MS" w:hAnsi="Trebuchet M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430"/>
        </w:tabs>
        <w:ind w:left="450" w:hanging="360"/>
      </w:pPr>
      <w:rPr>
        <w:rFonts w:ascii="Trebuchet MS" w:hAnsi="Trebuchet M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ADB4219"/>
    <w:multiLevelType w:val="hybridMultilevel"/>
    <w:tmpl w:val="0506F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1974F8"/>
    <w:multiLevelType w:val="hybridMultilevel"/>
    <w:tmpl w:val="25ACA5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8626E"/>
    <w:multiLevelType w:val="multilevel"/>
    <w:tmpl w:val="B9A6AA3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7B548D8"/>
    <w:multiLevelType w:val="hybridMultilevel"/>
    <w:tmpl w:val="A65454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EA58DE"/>
    <w:multiLevelType w:val="multilevel"/>
    <w:tmpl w:val="00DA065A"/>
    <w:lvl w:ilvl="0">
      <w:start w:val="1"/>
      <w:numFmt w:val="lowerLetter"/>
      <w:lvlText w:val="%1)"/>
      <w:lvlJc w:val="left"/>
      <w:pPr>
        <w:tabs>
          <w:tab w:val="num" w:pos="0"/>
        </w:tabs>
        <w:ind w:left="720" w:hanging="360"/>
      </w:pPr>
      <w:rPr>
        <w:rFonts w:ascii="Trebuchet MS" w:hAnsi="Trebuchet MS"/>
        <w:b w:val="0"/>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FB42921"/>
    <w:multiLevelType w:val="multilevel"/>
    <w:tmpl w:val="287C72E0"/>
    <w:lvl w:ilvl="0">
      <w:start w:val="1"/>
      <w:numFmt w:val="decimal"/>
      <w:pStyle w:val="IPCEIheadlinelevel1"/>
      <w:lvlText w:val="%1"/>
      <w:lvlJc w:val="left"/>
      <w:pPr>
        <w:ind w:left="432" w:hanging="432"/>
      </w:pPr>
    </w:lvl>
    <w:lvl w:ilvl="1">
      <w:start w:val="1"/>
      <w:numFmt w:val="decimal"/>
      <w:pStyle w:val="IPCEIsubheadinglevel2"/>
      <w:lvlText w:val="%1.%2"/>
      <w:lvlJc w:val="left"/>
      <w:pPr>
        <w:ind w:left="576" w:hanging="576"/>
      </w:pPr>
    </w:lvl>
    <w:lvl w:ilvl="2">
      <w:start w:val="1"/>
      <w:numFmt w:val="decimal"/>
      <w:pStyle w:val="IPCEIsubheadinglevel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15E7074"/>
    <w:multiLevelType w:val="hybridMultilevel"/>
    <w:tmpl w:val="513A9630"/>
    <w:lvl w:ilvl="0" w:tplc="E93407FA">
      <w:start w:val="2"/>
      <w:numFmt w:val="bullet"/>
      <w:lvlText w:val="-"/>
      <w:lvlJc w:val="left"/>
      <w:pPr>
        <w:ind w:left="720" w:hanging="360"/>
      </w:pPr>
      <w:rPr>
        <w:rFonts w:ascii="Trebuchet MS" w:eastAsia="Trebuchet MS"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E05465"/>
    <w:multiLevelType w:val="hybridMultilevel"/>
    <w:tmpl w:val="CBE002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4B7D0D"/>
    <w:multiLevelType w:val="hybridMultilevel"/>
    <w:tmpl w:val="8B60720C"/>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A97DF0"/>
    <w:multiLevelType w:val="multilevel"/>
    <w:tmpl w:val="C586475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87007D3"/>
    <w:multiLevelType w:val="hybridMultilevel"/>
    <w:tmpl w:val="66C655EA"/>
    <w:lvl w:ilvl="0" w:tplc="FFFFFFFF">
      <w:start w:val="1"/>
      <w:numFmt w:val="lowerRoman"/>
      <w:lvlText w:val="%1."/>
      <w:lvlJc w:val="right"/>
      <w:pPr>
        <w:ind w:left="720" w:hanging="360"/>
      </w:pPr>
    </w:lvl>
    <w:lvl w:ilvl="1" w:tplc="0409001B">
      <w:start w:val="1"/>
      <w:numFmt w:val="lowerRoman"/>
      <w:lvlText w:val="%2."/>
      <w:lvlJc w:val="right"/>
      <w:pPr>
        <w:ind w:left="1080" w:hanging="360"/>
      </w:pPr>
    </w:lvl>
    <w:lvl w:ilvl="2" w:tplc="FFFFFFFF">
      <w:start w:val="1"/>
      <w:numFmt w:val="lowerRoman"/>
      <w:lvlText w:val="%3."/>
      <w:lvlJc w:val="right"/>
      <w:pPr>
        <w:ind w:left="2160" w:hanging="180"/>
      </w:pPr>
    </w:lvl>
    <w:lvl w:ilvl="3" w:tplc="D236DD9A">
      <w:start w:val="2"/>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1D7C7C"/>
    <w:multiLevelType w:val="hybridMultilevel"/>
    <w:tmpl w:val="E3CEF7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A3D5C"/>
    <w:multiLevelType w:val="hybridMultilevel"/>
    <w:tmpl w:val="E3CEF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DD173C"/>
    <w:multiLevelType w:val="hybridMultilevel"/>
    <w:tmpl w:val="E3CEF7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8DF0733"/>
    <w:multiLevelType w:val="hybridMultilevel"/>
    <w:tmpl w:val="61649BEE"/>
    <w:lvl w:ilvl="0" w:tplc="7E3EB5BE">
      <w:start w:val="1"/>
      <w:numFmt w:val="lowerLetter"/>
      <w:lvlText w:val="%1)"/>
      <w:lvlJc w:val="left"/>
      <w:pPr>
        <w:ind w:left="720" w:hanging="360"/>
      </w:pPr>
      <w:rPr>
        <w:rFonts w:ascii="Trebuchet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731496"/>
    <w:multiLevelType w:val="hybridMultilevel"/>
    <w:tmpl w:val="019C2A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D516BA"/>
    <w:multiLevelType w:val="hybridMultilevel"/>
    <w:tmpl w:val="174E64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789585">
    <w:abstractNumId w:val="15"/>
  </w:num>
  <w:num w:numId="2" w16cid:durableId="1550725456">
    <w:abstractNumId w:val="1"/>
  </w:num>
  <w:num w:numId="3" w16cid:durableId="458187766">
    <w:abstractNumId w:val="13"/>
  </w:num>
  <w:num w:numId="4" w16cid:durableId="872811169">
    <w:abstractNumId w:val="20"/>
  </w:num>
  <w:num w:numId="5" w16cid:durableId="1478689719">
    <w:abstractNumId w:val="10"/>
  </w:num>
  <w:num w:numId="6" w16cid:durableId="1022364534">
    <w:abstractNumId w:val="16"/>
  </w:num>
  <w:num w:numId="7" w16cid:durableId="1818374574">
    <w:abstractNumId w:val="11"/>
  </w:num>
  <w:num w:numId="8" w16cid:durableId="1291782411">
    <w:abstractNumId w:val="2"/>
  </w:num>
  <w:num w:numId="9" w16cid:durableId="472874058">
    <w:abstractNumId w:val="22"/>
  </w:num>
  <w:num w:numId="10" w16cid:durableId="1029911050">
    <w:abstractNumId w:val="23"/>
  </w:num>
  <w:num w:numId="11" w16cid:durableId="1277982144">
    <w:abstractNumId w:val="8"/>
  </w:num>
  <w:num w:numId="12" w16cid:durableId="1223178077">
    <w:abstractNumId w:val="21"/>
  </w:num>
  <w:num w:numId="13" w16cid:durableId="777330813">
    <w:abstractNumId w:val="5"/>
  </w:num>
  <w:num w:numId="14" w16cid:durableId="1112941004">
    <w:abstractNumId w:val="19"/>
  </w:num>
  <w:num w:numId="15" w16cid:durableId="906185256">
    <w:abstractNumId w:val="7"/>
  </w:num>
  <w:num w:numId="16" w16cid:durableId="874848218">
    <w:abstractNumId w:val="9"/>
  </w:num>
  <w:num w:numId="17" w16cid:durableId="736896403">
    <w:abstractNumId w:val="12"/>
  </w:num>
  <w:num w:numId="18" w16cid:durableId="1240486770">
    <w:abstractNumId w:val="4"/>
  </w:num>
  <w:num w:numId="19" w16cid:durableId="235241417">
    <w:abstractNumId w:val="3"/>
  </w:num>
  <w:num w:numId="20" w16cid:durableId="2080976559">
    <w:abstractNumId w:val="14"/>
  </w:num>
  <w:num w:numId="21" w16cid:durableId="644621790">
    <w:abstractNumId w:val="25"/>
  </w:num>
  <w:num w:numId="22" w16cid:durableId="125926897">
    <w:abstractNumId w:val="18"/>
  </w:num>
  <w:num w:numId="23" w16cid:durableId="2012563280">
    <w:abstractNumId w:val="0"/>
  </w:num>
  <w:num w:numId="24" w16cid:durableId="412313899">
    <w:abstractNumId w:val="17"/>
  </w:num>
  <w:num w:numId="25" w16cid:durableId="167066502">
    <w:abstractNumId w:val="6"/>
  </w:num>
  <w:num w:numId="26" w16cid:durableId="93132002">
    <w:abstractNumId w:val="24"/>
  </w:num>
  <w:num w:numId="27" w16cid:durableId="1309481631">
    <w:abstractNumId w:val="27"/>
  </w:num>
  <w:num w:numId="28" w16cid:durableId="388577456">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0EF"/>
    <w:rsid w:val="000024DB"/>
    <w:rsid w:val="00010D74"/>
    <w:rsid w:val="00014617"/>
    <w:rsid w:val="0001663E"/>
    <w:rsid w:val="00020233"/>
    <w:rsid w:val="00022C7F"/>
    <w:rsid w:val="00026A0C"/>
    <w:rsid w:val="00027B73"/>
    <w:rsid w:val="000339C1"/>
    <w:rsid w:val="00035BE1"/>
    <w:rsid w:val="000362C3"/>
    <w:rsid w:val="000424B5"/>
    <w:rsid w:val="00044634"/>
    <w:rsid w:val="0004624F"/>
    <w:rsid w:val="00055E49"/>
    <w:rsid w:val="00060525"/>
    <w:rsid w:val="00061000"/>
    <w:rsid w:val="00064104"/>
    <w:rsid w:val="00064BB3"/>
    <w:rsid w:val="000729AF"/>
    <w:rsid w:val="0007643A"/>
    <w:rsid w:val="000854B9"/>
    <w:rsid w:val="000905C2"/>
    <w:rsid w:val="00090E3E"/>
    <w:rsid w:val="000A46B0"/>
    <w:rsid w:val="000A598F"/>
    <w:rsid w:val="000B168C"/>
    <w:rsid w:val="000C2143"/>
    <w:rsid w:val="000C264C"/>
    <w:rsid w:val="000C569D"/>
    <w:rsid w:val="000C6AD9"/>
    <w:rsid w:val="000C713B"/>
    <w:rsid w:val="000D1B77"/>
    <w:rsid w:val="000D5258"/>
    <w:rsid w:val="000D728B"/>
    <w:rsid w:val="000E3855"/>
    <w:rsid w:val="000E7D1F"/>
    <w:rsid w:val="000F4A21"/>
    <w:rsid w:val="000F5B13"/>
    <w:rsid w:val="000F6E80"/>
    <w:rsid w:val="000F76D2"/>
    <w:rsid w:val="00103119"/>
    <w:rsid w:val="00107EA0"/>
    <w:rsid w:val="00111C74"/>
    <w:rsid w:val="00112D52"/>
    <w:rsid w:val="001132DE"/>
    <w:rsid w:val="00121821"/>
    <w:rsid w:val="001244D7"/>
    <w:rsid w:val="00131880"/>
    <w:rsid w:val="001344B9"/>
    <w:rsid w:val="0013489D"/>
    <w:rsid w:val="00145372"/>
    <w:rsid w:val="00153747"/>
    <w:rsid w:val="00157938"/>
    <w:rsid w:val="00160910"/>
    <w:rsid w:val="0016438E"/>
    <w:rsid w:val="0017259C"/>
    <w:rsid w:val="00181688"/>
    <w:rsid w:val="00182CAF"/>
    <w:rsid w:val="0019104F"/>
    <w:rsid w:val="001931E5"/>
    <w:rsid w:val="00194DAE"/>
    <w:rsid w:val="001A1B82"/>
    <w:rsid w:val="001A343B"/>
    <w:rsid w:val="001A49CA"/>
    <w:rsid w:val="001C6447"/>
    <w:rsid w:val="001D12B0"/>
    <w:rsid w:val="001D66EB"/>
    <w:rsid w:val="001E50BC"/>
    <w:rsid w:val="001E7916"/>
    <w:rsid w:val="001F3EFA"/>
    <w:rsid w:val="002016FE"/>
    <w:rsid w:val="002044FE"/>
    <w:rsid w:val="00207C31"/>
    <w:rsid w:val="00211553"/>
    <w:rsid w:val="0021421A"/>
    <w:rsid w:val="0022028A"/>
    <w:rsid w:val="00224161"/>
    <w:rsid w:val="00231AFE"/>
    <w:rsid w:val="00235D24"/>
    <w:rsid w:val="002474BF"/>
    <w:rsid w:val="00257B38"/>
    <w:rsid w:val="002634F9"/>
    <w:rsid w:val="00267E5F"/>
    <w:rsid w:val="00270EF3"/>
    <w:rsid w:val="00275B0F"/>
    <w:rsid w:val="00277167"/>
    <w:rsid w:val="00281D7E"/>
    <w:rsid w:val="00284ADA"/>
    <w:rsid w:val="0029147D"/>
    <w:rsid w:val="00291E6B"/>
    <w:rsid w:val="002A4CEE"/>
    <w:rsid w:val="002B7118"/>
    <w:rsid w:val="002C5BC8"/>
    <w:rsid w:val="002C6385"/>
    <w:rsid w:val="002C7414"/>
    <w:rsid w:val="002D1A27"/>
    <w:rsid w:val="002D6A19"/>
    <w:rsid w:val="002D6AF3"/>
    <w:rsid w:val="002E4A49"/>
    <w:rsid w:val="002E5E34"/>
    <w:rsid w:val="002E6DBD"/>
    <w:rsid w:val="002F5C84"/>
    <w:rsid w:val="002F78E5"/>
    <w:rsid w:val="003002E7"/>
    <w:rsid w:val="003107D6"/>
    <w:rsid w:val="003112E2"/>
    <w:rsid w:val="00311B50"/>
    <w:rsid w:val="00312026"/>
    <w:rsid w:val="003131D1"/>
    <w:rsid w:val="00314594"/>
    <w:rsid w:val="00320240"/>
    <w:rsid w:val="00322882"/>
    <w:rsid w:val="00322D97"/>
    <w:rsid w:val="00323F9D"/>
    <w:rsid w:val="003252D9"/>
    <w:rsid w:val="003369DD"/>
    <w:rsid w:val="00336CA8"/>
    <w:rsid w:val="003573EB"/>
    <w:rsid w:val="00366DC3"/>
    <w:rsid w:val="003702C0"/>
    <w:rsid w:val="00376946"/>
    <w:rsid w:val="0037764F"/>
    <w:rsid w:val="003804A0"/>
    <w:rsid w:val="00382C0D"/>
    <w:rsid w:val="00384975"/>
    <w:rsid w:val="003922BA"/>
    <w:rsid w:val="003958E6"/>
    <w:rsid w:val="00396498"/>
    <w:rsid w:val="003A01C5"/>
    <w:rsid w:val="003A2BFE"/>
    <w:rsid w:val="003A5591"/>
    <w:rsid w:val="003A6A96"/>
    <w:rsid w:val="003D1C37"/>
    <w:rsid w:val="003D3FEE"/>
    <w:rsid w:val="003D6C26"/>
    <w:rsid w:val="003E0761"/>
    <w:rsid w:val="003E27DA"/>
    <w:rsid w:val="003E2CC4"/>
    <w:rsid w:val="003E2E12"/>
    <w:rsid w:val="003F5BCB"/>
    <w:rsid w:val="003F60D3"/>
    <w:rsid w:val="003F766A"/>
    <w:rsid w:val="0040053A"/>
    <w:rsid w:val="00400FE5"/>
    <w:rsid w:val="00412F9F"/>
    <w:rsid w:val="004202E1"/>
    <w:rsid w:val="00420DC0"/>
    <w:rsid w:val="00425535"/>
    <w:rsid w:val="00426C4E"/>
    <w:rsid w:val="004313A6"/>
    <w:rsid w:val="004314CE"/>
    <w:rsid w:val="0044106A"/>
    <w:rsid w:val="004450D8"/>
    <w:rsid w:val="00453014"/>
    <w:rsid w:val="004535C8"/>
    <w:rsid w:val="00461FF6"/>
    <w:rsid w:val="00473858"/>
    <w:rsid w:val="004742E9"/>
    <w:rsid w:val="00474CEA"/>
    <w:rsid w:val="004777FE"/>
    <w:rsid w:val="004813AF"/>
    <w:rsid w:val="004835C3"/>
    <w:rsid w:val="004871EC"/>
    <w:rsid w:val="004912BF"/>
    <w:rsid w:val="004A340D"/>
    <w:rsid w:val="004A4D42"/>
    <w:rsid w:val="004B163E"/>
    <w:rsid w:val="004B7839"/>
    <w:rsid w:val="004D22F0"/>
    <w:rsid w:val="004D7861"/>
    <w:rsid w:val="004E0D8F"/>
    <w:rsid w:val="004E259C"/>
    <w:rsid w:val="004F0A38"/>
    <w:rsid w:val="004F12C0"/>
    <w:rsid w:val="004F7D3A"/>
    <w:rsid w:val="00503FF5"/>
    <w:rsid w:val="00513216"/>
    <w:rsid w:val="00522566"/>
    <w:rsid w:val="00524F33"/>
    <w:rsid w:val="00525023"/>
    <w:rsid w:val="00526656"/>
    <w:rsid w:val="00527B37"/>
    <w:rsid w:val="005402C9"/>
    <w:rsid w:val="00544B07"/>
    <w:rsid w:val="0055276B"/>
    <w:rsid w:val="00561DD7"/>
    <w:rsid w:val="00562311"/>
    <w:rsid w:val="005668FC"/>
    <w:rsid w:val="00576F4F"/>
    <w:rsid w:val="00580D57"/>
    <w:rsid w:val="0058330F"/>
    <w:rsid w:val="00584440"/>
    <w:rsid w:val="00585CF4"/>
    <w:rsid w:val="005861F2"/>
    <w:rsid w:val="00587FAF"/>
    <w:rsid w:val="00597B9F"/>
    <w:rsid w:val="005A2CF8"/>
    <w:rsid w:val="005A3D13"/>
    <w:rsid w:val="005A52AF"/>
    <w:rsid w:val="005B1F02"/>
    <w:rsid w:val="005C1AF3"/>
    <w:rsid w:val="005C4077"/>
    <w:rsid w:val="005C5B37"/>
    <w:rsid w:val="005E48AA"/>
    <w:rsid w:val="005E6311"/>
    <w:rsid w:val="005F2418"/>
    <w:rsid w:val="005F4A6D"/>
    <w:rsid w:val="006006B5"/>
    <w:rsid w:val="006023C9"/>
    <w:rsid w:val="0060796E"/>
    <w:rsid w:val="006164CA"/>
    <w:rsid w:val="00625613"/>
    <w:rsid w:val="006272DC"/>
    <w:rsid w:val="00632652"/>
    <w:rsid w:val="0063545E"/>
    <w:rsid w:val="0063586C"/>
    <w:rsid w:val="00636598"/>
    <w:rsid w:val="00637D24"/>
    <w:rsid w:val="006401C9"/>
    <w:rsid w:val="006403FC"/>
    <w:rsid w:val="0064192F"/>
    <w:rsid w:val="0064295B"/>
    <w:rsid w:val="006467C9"/>
    <w:rsid w:val="006525A8"/>
    <w:rsid w:val="00653138"/>
    <w:rsid w:val="00655BDA"/>
    <w:rsid w:val="006566A8"/>
    <w:rsid w:val="0066125A"/>
    <w:rsid w:val="00664391"/>
    <w:rsid w:val="006720A7"/>
    <w:rsid w:val="00676C86"/>
    <w:rsid w:val="0068299F"/>
    <w:rsid w:val="00696E03"/>
    <w:rsid w:val="006A0093"/>
    <w:rsid w:val="006A4F03"/>
    <w:rsid w:val="006B5E3B"/>
    <w:rsid w:val="006C1351"/>
    <w:rsid w:val="006C2614"/>
    <w:rsid w:val="006C2C13"/>
    <w:rsid w:val="006C3B9C"/>
    <w:rsid w:val="006C7244"/>
    <w:rsid w:val="006D0782"/>
    <w:rsid w:val="006D6752"/>
    <w:rsid w:val="006D6AEE"/>
    <w:rsid w:val="006D7E74"/>
    <w:rsid w:val="006E0AB8"/>
    <w:rsid w:val="006E484B"/>
    <w:rsid w:val="006E581A"/>
    <w:rsid w:val="006E6B27"/>
    <w:rsid w:val="006F15C9"/>
    <w:rsid w:val="006F2651"/>
    <w:rsid w:val="006F41DC"/>
    <w:rsid w:val="006F539F"/>
    <w:rsid w:val="0070149B"/>
    <w:rsid w:val="00701DDF"/>
    <w:rsid w:val="00702E44"/>
    <w:rsid w:val="00723035"/>
    <w:rsid w:val="00724953"/>
    <w:rsid w:val="007267B0"/>
    <w:rsid w:val="00730168"/>
    <w:rsid w:val="00731596"/>
    <w:rsid w:val="0073565E"/>
    <w:rsid w:val="00744C4D"/>
    <w:rsid w:val="007455CF"/>
    <w:rsid w:val="007525C8"/>
    <w:rsid w:val="00754EC5"/>
    <w:rsid w:val="0075628D"/>
    <w:rsid w:val="00760EAD"/>
    <w:rsid w:val="00762137"/>
    <w:rsid w:val="0076253A"/>
    <w:rsid w:val="00762AE1"/>
    <w:rsid w:val="00780A55"/>
    <w:rsid w:val="0078576A"/>
    <w:rsid w:val="00785D92"/>
    <w:rsid w:val="007933DF"/>
    <w:rsid w:val="007950EE"/>
    <w:rsid w:val="007A3938"/>
    <w:rsid w:val="007A6ED3"/>
    <w:rsid w:val="007B2524"/>
    <w:rsid w:val="007B4CD9"/>
    <w:rsid w:val="007C192B"/>
    <w:rsid w:val="007C598D"/>
    <w:rsid w:val="007D1C35"/>
    <w:rsid w:val="007D1DE5"/>
    <w:rsid w:val="007D2D08"/>
    <w:rsid w:val="007D66E8"/>
    <w:rsid w:val="007E642A"/>
    <w:rsid w:val="007F20E6"/>
    <w:rsid w:val="00802019"/>
    <w:rsid w:val="00802AD9"/>
    <w:rsid w:val="00802C2D"/>
    <w:rsid w:val="008032F7"/>
    <w:rsid w:val="008033B8"/>
    <w:rsid w:val="00805003"/>
    <w:rsid w:val="008063C3"/>
    <w:rsid w:val="0080643B"/>
    <w:rsid w:val="0081617D"/>
    <w:rsid w:val="0082172A"/>
    <w:rsid w:val="008242FC"/>
    <w:rsid w:val="008245F0"/>
    <w:rsid w:val="00826E4E"/>
    <w:rsid w:val="0083188A"/>
    <w:rsid w:val="008500B5"/>
    <w:rsid w:val="0085752A"/>
    <w:rsid w:val="008619B3"/>
    <w:rsid w:val="008620EF"/>
    <w:rsid w:val="00862AAB"/>
    <w:rsid w:val="008716E3"/>
    <w:rsid w:val="008718E3"/>
    <w:rsid w:val="00873948"/>
    <w:rsid w:val="00884B9C"/>
    <w:rsid w:val="00887CCB"/>
    <w:rsid w:val="008931B7"/>
    <w:rsid w:val="00894CD8"/>
    <w:rsid w:val="008A04CE"/>
    <w:rsid w:val="008A39B9"/>
    <w:rsid w:val="008A72DF"/>
    <w:rsid w:val="008A7979"/>
    <w:rsid w:val="008B0C2A"/>
    <w:rsid w:val="008B1304"/>
    <w:rsid w:val="008C2FD9"/>
    <w:rsid w:val="008C3CBA"/>
    <w:rsid w:val="008D2580"/>
    <w:rsid w:val="008D442C"/>
    <w:rsid w:val="008D4CC9"/>
    <w:rsid w:val="008D5D59"/>
    <w:rsid w:val="008E004C"/>
    <w:rsid w:val="008E3CBF"/>
    <w:rsid w:val="008E4C8D"/>
    <w:rsid w:val="008F0099"/>
    <w:rsid w:val="008F237E"/>
    <w:rsid w:val="008F50C0"/>
    <w:rsid w:val="00900ED6"/>
    <w:rsid w:val="00904800"/>
    <w:rsid w:val="009106E4"/>
    <w:rsid w:val="00910720"/>
    <w:rsid w:val="00922A4E"/>
    <w:rsid w:val="0092333F"/>
    <w:rsid w:val="00927EC4"/>
    <w:rsid w:val="00930502"/>
    <w:rsid w:val="009311B0"/>
    <w:rsid w:val="009322B3"/>
    <w:rsid w:val="00932F7C"/>
    <w:rsid w:val="0094468E"/>
    <w:rsid w:val="00945C07"/>
    <w:rsid w:val="00955E4C"/>
    <w:rsid w:val="00973939"/>
    <w:rsid w:val="00974028"/>
    <w:rsid w:val="009A489F"/>
    <w:rsid w:val="009B20B7"/>
    <w:rsid w:val="009B317F"/>
    <w:rsid w:val="009B50FC"/>
    <w:rsid w:val="009C1104"/>
    <w:rsid w:val="009C14A9"/>
    <w:rsid w:val="009C1C5F"/>
    <w:rsid w:val="009D3F4E"/>
    <w:rsid w:val="009D6579"/>
    <w:rsid w:val="009E42ED"/>
    <w:rsid w:val="009E4EA0"/>
    <w:rsid w:val="009E616D"/>
    <w:rsid w:val="009F3513"/>
    <w:rsid w:val="009F4939"/>
    <w:rsid w:val="009F679F"/>
    <w:rsid w:val="009F6B35"/>
    <w:rsid w:val="00A02DAB"/>
    <w:rsid w:val="00A10728"/>
    <w:rsid w:val="00A15555"/>
    <w:rsid w:val="00A21DC1"/>
    <w:rsid w:val="00A274C0"/>
    <w:rsid w:val="00A27A31"/>
    <w:rsid w:val="00A33933"/>
    <w:rsid w:val="00A42030"/>
    <w:rsid w:val="00A432C5"/>
    <w:rsid w:val="00A46E2B"/>
    <w:rsid w:val="00A51681"/>
    <w:rsid w:val="00A521DC"/>
    <w:rsid w:val="00A544B2"/>
    <w:rsid w:val="00A66B3C"/>
    <w:rsid w:val="00A67175"/>
    <w:rsid w:val="00A71C07"/>
    <w:rsid w:val="00A71D5A"/>
    <w:rsid w:val="00A71D81"/>
    <w:rsid w:val="00A72EDD"/>
    <w:rsid w:val="00A72F57"/>
    <w:rsid w:val="00A73B54"/>
    <w:rsid w:val="00A74F37"/>
    <w:rsid w:val="00A813DF"/>
    <w:rsid w:val="00A83AEC"/>
    <w:rsid w:val="00A8773A"/>
    <w:rsid w:val="00A87914"/>
    <w:rsid w:val="00A87ADD"/>
    <w:rsid w:val="00A9215C"/>
    <w:rsid w:val="00A9566D"/>
    <w:rsid w:val="00AA1592"/>
    <w:rsid w:val="00AA6A7B"/>
    <w:rsid w:val="00AB2EF1"/>
    <w:rsid w:val="00AB34C8"/>
    <w:rsid w:val="00AB5FF3"/>
    <w:rsid w:val="00AC24B4"/>
    <w:rsid w:val="00AD2D71"/>
    <w:rsid w:val="00AE2EB1"/>
    <w:rsid w:val="00AE36CB"/>
    <w:rsid w:val="00AF4BA3"/>
    <w:rsid w:val="00AF4BE8"/>
    <w:rsid w:val="00AF4F7B"/>
    <w:rsid w:val="00AF5F95"/>
    <w:rsid w:val="00AF672D"/>
    <w:rsid w:val="00B0089D"/>
    <w:rsid w:val="00B018F2"/>
    <w:rsid w:val="00B01903"/>
    <w:rsid w:val="00B01E66"/>
    <w:rsid w:val="00B03F04"/>
    <w:rsid w:val="00B07C8C"/>
    <w:rsid w:val="00B25A6C"/>
    <w:rsid w:val="00B4029C"/>
    <w:rsid w:val="00B42D7C"/>
    <w:rsid w:val="00B47C3E"/>
    <w:rsid w:val="00B53A13"/>
    <w:rsid w:val="00B54140"/>
    <w:rsid w:val="00B61D42"/>
    <w:rsid w:val="00B6261A"/>
    <w:rsid w:val="00B80311"/>
    <w:rsid w:val="00B863BF"/>
    <w:rsid w:val="00B93EC8"/>
    <w:rsid w:val="00BA6EB7"/>
    <w:rsid w:val="00BB7989"/>
    <w:rsid w:val="00BC2070"/>
    <w:rsid w:val="00BC2352"/>
    <w:rsid w:val="00BC4322"/>
    <w:rsid w:val="00BD423D"/>
    <w:rsid w:val="00BE0522"/>
    <w:rsid w:val="00BE0710"/>
    <w:rsid w:val="00BE1B8A"/>
    <w:rsid w:val="00BE28D6"/>
    <w:rsid w:val="00BE35D7"/>
    <w:rsid w:val="00BF335E"/>
    <w:rsid w:val="00BF7E7E"/>
    <w:rsid w:val="00C01249"/>
    <w:rsid w:val="00C05B8E"/>
    <w:rsid w:val="00C12210"/>
    <w:rsid w:val="00C14CA4"/>
    <w:rsid w:val="00C1630C"/>
    <w:rsid w:val="00C202FA"/>
    <w:rsid w:val="00C253DF"/>
    <w:rsid w:val="00C26853"/>
    <w:rsid w:val="00C309E1"/>
    <w:rsid w:val="00C3251F"/>
    <w:rsid w:val="00C33EF7"/>
    <w:rsid w:val="00C34329"/>
    <w:rsid w:val="00C373AD"/>
    <w:rsid w:val="00C411A7"/>
    <w:rsid w:val="00C41337"/>
    <w:rsid w:val="00C47A0B"/>
    <w:rsid w:val="00C512BD"/>
    <w:rsid w:val="00C524C6"/>
    <w:rsid w:val="00C5466E"/>
    <w:rsid w:val="00C55F3C"/>
    <w:rsid w:val="00C61D41"/>
    <w:rsid w:val="00C70042"/>
    <w:rsid w:val="00C73E56"/>
    <w:rsid w:val="00C76FA2"/>
    <w:rsid w:val="00C81FB8"/>
    <w:rsid w:val="00C93344"/>
    <w:rsid w:val="00C96852"/>
    <w:rsid w:val="00C97C42"/>
    <w:rsid w:val="00CA0C24"/>
    <w:rsid w:val="00CA2C74"/>
    <w:rsid w:val="00CA3E2C"/>
    <w:rsid w:val="00CB1D1B"/>
    <w:rsid w:val="00CB29AE"/>
    <w:rsid w:val="00CB4604"/>
    <w:rsid w:val="00CB4BEF"/>
    <w:rsid w:val="00CB50B8"/>
    <w:rsid w:val="00CC09F7"/>
    <w:rsid w:val="00CC3F53"/>
    <w:rsid w:val="00CC66CF"/>
    <w:rsid w:val="00CD1EA3"/>
    <w:rsid w:val="00CD1FF3"/>
    <w:rsid w:val="00CD556D"/>
    <w:rsid w:val="00CD5730"/>
    <w:rsid w:val="00D01F53"/>
    <w:rsid w:val="00D07D44"/>
    <w:rsid w:val="00D10502"/>
    <w:rsid w:val="00D11727"/>
    <w:rsid w:val="00D1537C"/>
    <w:rsid w:val="00D1698C"/>
    <w:rsid w:val="00D21E94"/>
    <w:rsid w:val="00D26073"/>
    <w:rsid w:val="00D26E17"/>
    <w:rsid w:val="00D27029"/>
    <w:rsid w:val="00D342B6"/>
    <w:rsid w:val="00D36640"/>
    <w:rsid w:val="00D40142"/>
    <w:rsid w:val="00D40551"/>
    <w:rsid w:val="00D41D09"/>
    <w:rsid w:val="00D47AED"/>
    <w:rsid w:val="00D532DD"/>
    <w:rsid w:val="00D55540"/>
    <w:rsid w:val="00D56306"/>
    <w:rsid w:val="00D61BED"/>
    <w:rsid w:val="00D65A72"/>
    <w:rsid w:val="00D70260"/>
    <w:rsid w:val="00D73210"/>
    <w:rsid w:val="00D80D32"/>
    <w:rsid w:val="00D83E06"/>
    <w:rsid w:val="00D94B15"/>
    <w:rsid w:val="00D95B08"/>
    <w:rsid w:val="00DA1D07"/>
    <w:rsid w:val="00DB4640"/>
    <w:rsid w:val="00DB72D7"/>
    <w:rsid w:val="00DC1B98"/>
    <w:rsid w:val="00DC23FD"/>
    <w:rsid w:val="00DC32B5"/>
    <w:rsid w:val="00DC3E47"/>
    <w:rsid w:val="00DC6076"/>
    <w:rsid w:val="00DD08E2"/>
    <w:rsid w:val="00DE137E"/>
    <w:rsid w:val="00DE21CA"/>
    <w:rsid w:val="00DE319E"/>
    <w:rsid w:val="00DE4DD3"/>
    <w:rsid w:val="00DE7373"/>
    <w:rsid w:val="00E12F58"/>
    <w:rsid w:val="00E13C2E"/>
    <w:rsid w:val="00E20EE7"/>
    <w:rsid w:val="00E2235B"/>
    <w:rsid w:val="00E22949"/>
    <w:rsid w:val="00E2570E"/>
    <w:rsid w:val="00E262EB"/>
    <w:rsid w:val="00E33A27"/>
    <w:rsid w:val="00E376AD"/>
    <w:rsid w:val="00E415B6"/>
    <w:rsid w:val="00E416AC"/>
    <w:rsid w:val="00E41D0A"/>
    <w:rsid w:val="00E453EA"/>
    <w:rsid w:val="00E55D55"/>
    <w:rsid w:val="00E5794B"/>
    <w:rsid w:val="00E65048"/>
    <w:rsid w:val="00E7526B"/>
    <w:rsid w:val="00E765AD"/>
    <w:rsid w:val="00E7702F"/>
    <w:rsid w:val="00E779E5"/>
    <w:rsid w:val="00E81BDC"/>
    <w:rsid w:val="00E8499F"/>
    <w:rsid w:val="00E860DC"/>
    <w:rsid w:val="00E950E7"/>
    <w:rsid w:val="00E97B6D"/>
    <w:rsid w:val="00E97D1E"/>
    <w:rsid w:val="00EA0543"/>
    <w:rsid w:val="00EA3571"/>
    <w:rsid w:val="00EA7DD8"/>
    <w:rsid w:val="00EB0763"/>
    <w:rsid w:val="00EC0838"/>
    <w:rsid w:val="00EC18E0"/>
    <w:rsid w:val="00EC19E4"/>
    <w:rsid w:val="00EC48E4"/>
    <w:rsid w:val="00EC7B63"/>
    <w:rsid w:val="00ED4829"/>
    <w:rsid w:val="00ED61AF"/>
    <w:rsid w:val="00EE382A"/>
    <w:rsid w:val="00EE7A0E"/>
    <w:rsid w:val="00EF47C7"/>
    <w:rsid w:val="00EF6578"/>
    <w:rsid w:val="00EF7B97"/>
    <w:rsid w:val="00F0099D"/>
    <w:rsid w:val="00F01BD7"/>
    <w:rsid w:val="00F04561"/>
    <w:rsid w:val="00F066E3"/>
    <w:rsid w:val="00F11CEB"/>
    <w:rsid w:val="00F16ED0"/>
    <w:rsid w:val="00F178D3"/>
    <w:rsid w:val="00F24452"/>
    <w:rsid w:val="00F32AE7"/>
    <w:rsid w:val="00F352D6"/>
    <w:rsid w:val="00F41DC3"/>
    <w:rsid w:val="00F42E8D"/>
    <w:rsid w:val="00F45AEA"/>
    <w:rsid w:val="00F5014D"/>
    <w:rsid w:val="00F60438"/>
    <w:rsid w:val="00F6192B"/>
    <w:rsid w:val="00F65DF6"/>
    <w:rsid w:val="00F72BDC"/>
    <w:rsid w:val="00F85186"/>
    <w:rsid w:val="00F85412"/>
    <w:rsid w:val="00F93F8F"/>
    <w:rsid w:val="00FA4577"/>
    <w:rsid w:val="00FA554D"/>
    <w:rsid w:val="00FB18CE"/>
    <w:rsid w:val="00FB5A63"/>
    <w:rsid w:val="00FB7E27"/>
    <w:rsid w:val="00FC1346"/>
    <w:rsid w:val="00FC6E93"/>
    <w:rsid w:val="00FD24DF"/>
    <w:rsid w:val="00FD45CB"/>
    <w:rsid w:val="00FE5F3E"/>
    <w:rsid w:val="00FE7261"/>
    <w:rsid w:val="00FF2907"/>
    <w:rsid w:val="00FF686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534CB"/>
  <w15:docId w15:val="{24D2D4A0-866C-4474-A64C-C9A7895C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F7C"/>
    <w:pPr>
      <w:spacing w:before="120" w:after="120"/>
    </w:pPr>
  </w:style>
  <w:style w:type="paragraph" w:styleId="Heading1">
    <w:name w:val="heading 1"/>
    <w:basedOn w:val="Normal"/>
    <w:next w:val="Normal"/>
    <w:qFormat/>
    <w:pPr>
      <w:keepNext/>
      <w:shd w:val="clear" w:color="auto" w:fill="D9D9D9"/>
      <w:spacing w:before="240" w:after="960"/>
      <w:ind w:left="432" w:hanging="432"/>
      <w:outlineLvl w:val="0"/>
    </w:pPr>
    <w:rPr>
      <w:b/>
      <w:sz w:val="28"/>
      <w:szCs w:val="28"/>
    </w:rPr>
  </w:style>
  <w:style w:type="paragraph" w:styleId="Heading2">
    <w:name w:val="heading 2"/>
    <w:aliases w:val="Nadpis_2,AB,Numbered - 2,Sub Heading,ignorer2,Heading 2 Char1,Heading 2 Char Char"/>
    <w:basedOn w:val="Normal"/>
    <w:next w:val="Normal"/>
    <w:qFormat/>
    <w:pPr>
      <w:keepNext/>
      <w:spacing w:before="240" w:after="60"/>
      <w:ind w:left="576" w:hanging="576"/>
      <w:outlineLvl w:val="1"/>
    </w:pPr>
    <w:rPr>
      <w:b/>
      <w:sz w:val="24"/>
      <w:szCs w:val="24"/>
    </w:rPr>
  </w:style>
  <w:style w:type="paragraph" w:styleId="Heading3">
    <w:name w:val="heading 3"/>
    <w:aliases w:val="Podpodkapitola,adpis 3,KopCat. 3,Numbered - 3"/>
    <w:basedOn w:val="Normal"/>
    <w:next w:val="Normal"/>
    <w:qFormat/>
    <w:pPr>
      <w:keepNext/>
      <w:spacing w:before="240" w:after="60"/>
      <w:ind w:left="1146" w:hanging="720"/>
      <w:outlineLvl w:val="2"/>
    </w:pPr>
    <w:rPr>
      <w:b/>
    </w:rPr>
  </w:style>
  <w:style w:type="paragraph" w:styleId="Heading4">
    <w:name w:val="heading 4"/>
    <w:basedOn w:val="Normal"/>
    <w:next w:val="Normal"/>
    <w:qFormat/>
    <w:pPr>
      <w:keepNext/>
      <w:spacing w:before="240" w:after="60"/>
      <w:ind w:left="864" w:hanging="864"/>
      <w:outlineLvl w:val="3"/>
    </w:pPr>
    <w:rPr>
      <w:b/>
    </w:rPr>
  </w:style>
  <w:style w:type="paragraph" w:styleId="Heading5">
    <w:name w:val="heading 5"/>
    <w:basedOn w:val="Normal"/>
    <w:next w:val="Normal"/>
    <w:qFormat/>
    <w:pPr>
      <w:keepNext/>
      <w:spacing w:before="0" w:after="0"/>
      <w:ind w:left="1008" w:hanging="1008"/>
      <w:jc w:val="right"/>
      <w:outlineLvl w:val="4"/>
    </w:pPr>
    <w:rPr>
      <w:b/>
    </w:rPr>
  </w:style>
  <w:style w:type="paragraph" w:styleId="Heading6">
    <w:name w:val="heading 6"/>
    <w:basedOn w:val="Normal"/>
    <w:next w:val="Normal"/>
    <w:qFormat/>
    <w:pPr>
      <w:keepNext/>
      <w:ind w:left="1152" w:hanging="1152"/>
      <w:jc w:val="right"/>
      <w:outlineLvl w:val="5"/>
    </w:pPr>
    <w:rPr>
      <w:b/>
      <w:smallCaps/>
      <w:color w:val="003366"/>
      <w:sz w:val="36"/>
      <w:szCs w:val="36"/>
    </w:rPr>
  </w:style>
  <w:style w:type="paragraph" w:styleId="Heading7">
    <w:name w:val="heading 7"/>
    <w:basedOn w:val="Normal"/>
    <w:next w:val="Normal"/>
    <w:link w:val="Heading7Char"/>
    <w:uiPriority w:val="99"/>
    <w:unhideWhenUsed/>
    <w:qFormat/>
    <w:rsid w:val="00160910"/>
    <w:pPr>
      <w:keepNext/>
      <w:suppressAutoHyphens w:val="0"/>
      <w:ind w:left="1296" w:hanging="1296"/>
      <w:jc w:val="center"/>
      <w:outlineLvl w:val="6"/>
    </w:pPr>
    <w:rPr>
      <w:rFonts w:eastAsia="Times New Roman" w:cs="Times New Roman"/>
      <w:sz w:val="24"/>
      <w:szCs w:val="24"/>
    </w:rPr>
  </w:style>
  <w:style w:type="paragraph" w:styleId="Heading8">
    <w:name w:val="heading 8"/>
    <w:basedOn w:val="Normal"/>
    <w:next w:val="Normal"/>
    <w:link w:val="Heading8Char"/>
    <w:uiPriority w:val="99"/>
    <w:semiHidden/>
    <w:unhideWhenUsed/>
    <w:qFormat/>
    <w:rsid w:val="00160910"/>
    <w:pPr>
      <w:keepNext/>
      <w:suppressAutoHyphens w:val="0"/>
      <w:spacing w:before="0" w:after="0"/>
      <w:ind w:left="1440" w:hanging="1440"/>
      <w:jc w:val="right"/>
      <w:outlineLvl w:val="7"/>
    </w:pPr>
    <w:rPr>
      <w:rFonts w:eastAsia="Times New Roman" w:cs="Times New Roman"/>
      <w:b/>
      <w:caps/>
      <w:sz w:val="32"/>
      <w:szCs w:val="24"/>
    </w:rPr>
  </w:style>
  <w:style w:type="paragraph" w:styleId="Heading9">
    <w:name w:val="heading 9"/>
    <w:basedOn w:val="Normal"/>
    <w:next w:val="Normal"/>
    <w:link w:val="Heading9Char"/>
    <w:uiPriority w:val="99"/>
    <w:semiHidden/>
    <w:unhideWhenUsed/>
    <w:qFormat/>
    <w:rsid w:val="00160910"/>
    <w:pPr>
      <w:keepNext/>
      <w:suppressAutoHyphens w:val="0"/>
      <w:spacing w:before="40" w:after="40"/>
      <w:ind w:left="1584" w:hanging="1584"/>
      <w:jc w:val="center"/>
      <w:outlineLvl w:val="8"/>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qFormat/>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C200CE"/>
    <w:rPr>
      <w:rFonts w:ascii="Segoe UI" w:hAnsi="Segoe UI" w:cs="Segoe UI"/>
      <w:sz w:val="18"/>
      <w:szCs w:val="18"/>
    </w:rPr>
  </w:style>
  <w:style w:type="character" w:customStyle="1" w:styleId="HeaderChar">
    <w:name w:val="Header Char"/>
    <w:basedOn w:val="DefaultParagraphFont"/>
    <w:link w:val="Header"/>
    <w:uiPriority w:val="99"/>
    <w:qFormat/>
    <w:rsid w:val="001E3E22"/>
  </w:style>
  <w:style w:type="character" w:customStyle="1" w:styleId="FooterChar">
    <w:name w:val="Footer Char"/>
    <w:basedOn w:val="DefaultParagraphFont"/>
    <w:link w:val="Footer"/>
    <w:uiPriority w:val="99"/>
    <w:qFormat/>
    <w:rsid w:val="001E3E22"/>
  </w:style>
  <w:style w:type="character" w:styleId="Strong">
    <w:name w:val="Strong"/>
    <w:basedOn w:val="DefaultParagraphFont"/>
    <w:uiPriority w:val="22"/>
    <w:qFormat/>
    <w:rsid w:val="00A068B9"/>
    <w:rPr>
      <w:b/>
      <w:bCs/>
    </w:rPr>
  </w:style>
  <w:style w:type="character" w:styleId="Hyperlink">
    <w:name w:val="Hyperlink"/>
    <w:basedOn w:val="DefaultParagraphFont"/>
    <w:uiPriority w:val="99"/>
    <w:unhideWhenUsed/>
    <w:rsid w:val="00A068B9"/>
    <w:rPr>
      <w:color w:val="0000FF"/>
      <w:u w:val="single"/>
    </w:rPr>
  </w:style>
  <w:style w:type="character" w:customStyle="1" w:styleId="FootnoteTextChar">
    <w:name w:val="Footnote Text Char"/>
    <w:basedOn w:val="DefaultParagraphFont"/>
    <w:link w:val="FootnoteText"/>
    <w:uiPriority w:val="99"/>
    <w:semiHidden/>
    <w:qFormat/>
    <w:rsid w:val="00B42CFA"/>
  </w:style>
  <w:style w:type="character" w:customStyle="1" w:styleId="FootnoteCharacters">
    <w:name w:val="Footnote Characters"/>
    <w:basedOn w:val="DefaultParagraphFont"/>
    <w:uiPriority w:val="99"/>
    <w:semiHidden/>
    <w:unhideWhenUsed/>
    <w:qFormat/>
    <w:rsid w:val="007C2213"/>
    <w:rPr>
      <w:vertAlign w:val="superscript"/>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CommentSubjectChar">
    <w:name w:val="Comment Subject Char"/>
    <w:basedOn w:val="CommentTextChar"/>
    <w:link w:val="CommentSubject"/>
    <w:uiPriority w:val="99"/>
    <w:semiHidden/>
    <w:qFormat/>
    <w:rsid w:val="003B2C87"/>
    <w:rPr>
      <w:b/>
      <w:bCs/>
    </w:rPr>
  </w:style>
  <w:style w:type="character" w:customStyle="1" w:styleId="NormalWebChar">
    <w:name w:val="Normal (Web) Char"/>
    <w:basedOn w:val="DefaultParagraphFont"/>
    <w:link w:val="NormalWeb"/>
    <w:uiPriority w:val="99"/>
    <w:qFormat/>
    <w:locked/>
    <w:rsid w:val="00BF1FD7"/>
    <w:rPr>
      <w:rFonts w:ascii="Times New Roman" w:eastAsia="Times New Roman" w:hAnsi="Times New Roman" w:cs="Times New Roman"/>
      <w:sz w:val="24"/>
      <w:szCs w:val="24"/>
    </w:rPr>
  </w:style>
  <w:style w:type="character" w:customStyle="1" w:styleId="sursarapChar">
    <w:name w:val="sursa rap Char"/>
    <w:basedOn w:val="DefaultParagraphFont"/>
    <w:uiPriority w:val="99"/>
    <w:qFormat/>
    <w:locked/>
    <w:rsid w:val="00FC0FFD"/>
    <w:rPr>
      <w:rFonts w:ascii="Calibri" w:eastAsia="Times New Roman" w:hAnsi="Calibri" w:cs="Times New Roman"/>
      <w:i/>
      <w:sz w:val="20"/>
      <w:szCs w:val="20"/>
    </w:rPr>
  </w:style>
  <w:style w:type="character" w:customStyle="1" w:styleId="ListParagraphChar">
    <w:name w:val="List Paragraph Char"/>
    <w:link w:val="ListParagraph"/>
    <w:uiPriority w:val="34"/>
    <w:qFormat/>
    <w:rsid w:val="00E61E1E"/>
    <w:rPr>
      <w:rFonts w:ascii="Calibri" w:eastAsia="Calibri" w:hAnsi="Calibri" w:cs="Times New Roman"/>
      <w:sz w:val="22"/>
      <w:szCs w:val="22"/>
      <w:lang w:val="en-US"/>
    </w:rPr>
  </w:style>
  <w:style w:type="character" w:styleId="FollowedHyperlink">
    <w:name w:val="FollowedHyperlink"/>
    <w:basedOn w:val="DefaultParagraphFont"/>
    <w:uiPriority w:val="99"/>
    <w:semiHidden/>
    <w:unhideWhenUsed/>
    <w:rsid w:val="003E6A28"/>
    <w:rPr>
      <w:color w:val="800080" w:themeColor="followedHyperlink"/>
      <w:u w:val="single"/>
    </w:rPr>
  </w:style>
  <w:style w:type="character" w:styleId="PlaceholderText">
    <w:name w:val="Placeholder Text"/>
    <w:basedOn w:val="DefaultParagraphFont"/>
    <w:uiPriority w:val="99"/>
    <w:semiHidden/>
    <w:qFormat/>
    <w:rsid w:val="003D3238"/>
    <w:rPr>
      <w:color w:val="808080"/>
    </w:rPr>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spacing w:before="0" w:after="140" w:line="276" w:lineRule="auto"/>
    </w:pPr>
  </w:style>
  <w:style w:type="paragraph" w:styleId="List">
    <w:name w:val="List"/>
    <w:basedOn w:val="BodyText"/>
    <w:rPr>
      <w:rFonts w:cs="Arial"/>
    </w:rPr>
  </w:style>
  <w:style w:type="paragraph" w:styleId="Caption">
    <w:name w:val="caption"/>
    <w:basedOn w:val="Normal"/>
    <w:qFormat/>
    <w:pPr>
      <w:suppressLineNumbers/>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next w:val="Normal"/>
    <w:qFormat/>
    <w:pPr>
      <w:jc w:val="center"/>
    </w:pPr>
    <w:rPr>
      <w:b/>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qFormat/>
  </w:style>
  <w:style w:type="paragraph" w:styleId="BalloonText">
    <w:name w:val="Balloon Text"/>
    <w:basedOn w:val="Normal"/>
    <w:link w:val="BalloonTextChar"/>
    <w:uiPriority w:val="99"/>
    <w:semiHidden/>
    <w:unhideWhenUsed/>
    <w:qFormat/>
    <w:rsid w:val="00C200CE"/>
    <w:pPr>
      <w:spacing w:before="0" w:after="0"/>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E3E22"/>
    <w:pPr>
      <w:tabs>
        <w:tab w:val="center" w:pos="4680"/>
        <w:tab w:val="right" w:pos="9360"/>
      </w:tabs>
      <w:spacing w:before="0" w:after="0"/>
    </w:pPr>
  </w:style>
  <w:style w:type="paragraph" w:styleId="Footer">
    <w:name w:val="footer"/>
    <w:basedOn w:val="Normal"/>
    <w:link w:val="FooterChar"/>
    <w:uiPriority w:val="99"/>
    <w:unhideWhenUsed/>
    <w:rsid w:val="001E3E22"/>
    <w:pPr>
      <w:tabs>
        <w:tab w:val="center" w:pos="4680"/>
        <w:tab w:val="right" w:pos="9360"/>
      </w:tabs>
      <w:spacing w:before="0" w:after="0"/>
    </w:pPr>
  </w:style>
  <w:style w:type="paragraph" w:customStyle="1" w:styleId="Default">
    <w:name w:val="Default"/>
    <w:qFormat/>
    <w:rsid w:val="004604F7"/>
    <w:rPr>
      <w:rFonts w:ascii="Times New Roman" w:hAnsi="Times New Roman" w:cs="Times New Roman"/>
      <w:color w:val="000000"/>
      <w:sz w:val="24"/>
      <w:szCs w:val="24"/>
      <w:lang w:val="en-US"/>
    </w:rPr>
  </w:style>
  <w:style w:type="paragraph" w:styleId="ListParagraph">
    <w:name w:val="List Paragraph"/>
    <w:basedOn w:val="Normal"/>
    <w:link w:val="ListParagraphChar"/>
    <w:uiPriority w:val="34"/>
    <w:qFormat/>
    <w:rsid w:val="00B42CFA"/>
    <w:pPr>
      <w:spacing w:before="0" w:after="160" w:line="252" w:lineRule="auto"/>
      <w:ind w:left="720"/>
      <w:contextualSpacing/>
      <w:textAlignment w:val="baseline"/>
    </w:pPr>
    <w:rPr>
      <w:rFonts w:ascii="Calibri" w:eastAsia="Calibri" w:hAnsi="Calibri" w:cs="Times New Roman"/>
      <w:sz w:val="22"/>
      <w:szCs w:val="22"/>
      <w:lang w:val="en-US"/>
    </w:rPr>
  </w:style>
  <w:style w:type="paragraph" w:styleId="FootnoteText">
    <w:name w:val="footnote text"/>
    <w:basedOn w:val="Normal"/>
    <w:link w:val="FootnoteTextChar"/>
    <w:uiPriority w:val="99"/>
    <w:semiHidden/>
    <w:unhideWhenUsed/>
    <w:rsid w:val="00B42CFA"/>
    <w:pPr>
      <w:spacing w:before="0" w:after="0"/>
    </w:pPr>
  </w:style>
  <w:style w:type="paragraph" w:styleId="CommentSubject">
    <w:name w:val="annotation subject"/>
    <w:basedOn w:val="CommentText"/>
    <w:next w:val="CommentText"/>
    <w:link w:val="CommentSubjectChar"/>
    <w:uiPriority w:val="99"/>
    <w:semiHidden/>
    <w:unhideWhenUsed/>
    <w:qFormat/>
    <w:rsid w:val="003B2C87"/>
    <w:rPr>
      <w:b/>
      <w:bCs/>
    </w:rPr>
  </w:style>
  <w:style w:type="paragraph" w:styleId="NormalWeb">
    <w:name w:val="Normal (Web)"/>
    <w:basedOn w:val="Normal"/>
    <w:link w:val="NormalWebChar"/>
    <w:uiPriority w:val="99"/>
    <w:qFormat/>
    <w:rsid w:val="00BF1FD7"/>
    <w:pPr>
      <w:suppressAutoHyphens w:val="0"/>
      <w:spacing w:before="100" w:after="100"/>
    </w:pPr>
    <w:rPr>
      <w:rFonts w:ascii="Times New Roman" w:eastAsia="Times New Roman" w:hAnsi="Times New Roman" w:cs="Times New Roman"/>
      <w:sz w:val="24"/>
      <w:szCs w:val="24"/>
    </w:rPr>
  </w:style>
  <w:style w:type="paragraph" w:customStyle="1" w:styleId="Style15">
    <w:name w:val="Style15"/>
    <w:basedOn w:val="Normal"/>
    <w:uiPriority w:val="99"/>
    <w:qFormat/>
    <w:rsid w:val="001D4F6E"/>
    <w:pPr>
      <w:widowControl w:val="0"/>
      <w:suppressAutoHyphens w:val="0"/>
      <w:spacing w:before="0" w:after="0" w:line="288" w:lineRule="exact"/>
      <w:ind w:hanging="353"/>
      <w:jc w:val="both"/>
    </w:pPr>
    <w:rPr>
      <w:rFonts w:ascii="Times New Roman" w:eastAsia="Times New Roman" w:hAnsi="Times New Roman" w:cs="Times New Roman"/>
      <w:sz w:val="24"/>
      <w:szCs w:val="24"/>
      <w:lang w:eastAsia="ro-RO"/>
    </w:rPr>
  </w:style>
  <w:style w:type="paragraph" w:styleId="Revision">
    <w:name w:val="Revision"/>
    <w:uiPriority w:val="99"/>
    <w:semiHidden/>
    <w:qFormat/>
    <w:rsid w:val="00C04EB5"/>
    <w:pPr>
      <w:suppressAutoHyphens w:val="0"/>
    </w:p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1D4612"/>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A2CF8"/>
    <w:rPr>
      <w:color w:val="605E5C"/>
      <w:shd w:val="clear" w:color="auto" w:fill="E1DFDD"/>
    </w:rPr>
  </w:style>
  <w:style w:type="paragraph" w:customStyle="1" w:styleId="IPCEIheadlinelevel1">
    <w:name w:val="IPCEI headline (level 1)"/>
    <w:basedOn w:val="Heading1"/>
    <w:qFormat/>
    <w:rsid w:val="00E8499F"/>
    <w:pPr>
      <w:keepLines/>
      <w:pageBreakBefore/>
      <w:numPr>
        <w:numId w:val="6"/>
      </w:numPr>
      <w:shd w:val="clear" w:color="auto" w:fill="auto"/>
      <w:suppressAutoHyphens w:val="0"/>
      <w:spacing w:after="60" w:line="276" w:lineRule="auto"/>
      <w:ind w:left="431" w:hanging="431"/>
    </w:pPr>
    <w:rPr>
      <w:rFonts w:ascii="Arial" w:eastAsiaTheme="majorEastAsia" w:hAnsi="Arial" w:cs="Arial"/>
      <w:bCs/>
      <w:color w:val="2E74B5"/>
      <w:sz w:val="32"/>
      <w:lang w:val="en-GB" w:eastAsia="de-DE"/>
    </w:rPr>
  </w:style>
  <w:style w:type="paragraph" w:customStyle="1" w:styleId="IPCEIsubheadinglevel2">
    <w:name w:val="IPCEI subheading (level 2)"/>
    <w:basedOn w:val="Heading2"/>
    <w:link w:val="IPCEIsubheadinglevel2Zchn"/>
    <w:qFormat/>
    <w:rsid w:val="00E8499F"/>
    <w:pPr>
      <w:keepLines/>
      <w:numPr>
        <w:ilvl w:val="1"/>
        <w:numId w:val="6"/>
      </w:numPr>
      <w:suppressAutoHyphens w:val="0"/>
      <w:spacing w:before="120" w:line="276" w:lineRule="auto"/>
    </w:pPr>
    <w:rPr>
      <w:rFonts w:ascii="Arial" w:eastAsiaTheme="majorEastAsia" w:hAnsi="Arial" w:cs="Arial"/>
      <w:b w:val="0"/>
      <w:bCs/>
      <w:color w:val="2E74B5"/>
      <w:sz w:val="26"/>
      <w:szCs w:val="26"/>
      <w:lang w:val="en-GB" w:eastAsia="de-DE"/>
    </w:rPr>
  </w:style>
  <w:style w:type="character" w:customStyle="1" w:styleId="IPCEIsubheadinglevel2Zchn">
    <w:name w:val="IPCEI subheading (level 2) Zchn"/>
    <w:basedOn w:val="DefaultParagraphFont"/>
    <w:link w:val="IPCEIsubheadinglevel2"/>
    <w:rsid w:val="00E8499F"/>
    <w:rPr>
      <w:rFonts w:ascii="Arial" w:eastAsiaTheme="majorEastAsia" w:hAnsi="Arial" w:cs="Arial"/>
      <w:bCs/>
      <w:color w:val="2E74B5"/>
      <w:sz w:val="26"/>
      <w:szCs w:val="26"/>
      <w:lang w:val="en-GB" w:eastAsia="de-DE"/>
    </w:rPr>
  </w:style>
  <w:style w:type="paragraph" w:customStyle="1" w:styleId="IPCEIsubheadinglevel3">
    <w:name w:val="IPCEI subheading (level 3)"/>
    <w:basedOn w:val="Heading3"/>
    <w:qFormat/>
    <w:rsid w:val="00E8499F"/>
    <w:pPr>
      <w:keepLines/>
      <w:numPr>
        <w:ilvl w:val="2"/>
        <w:numId w:val="6"/>
      </w:numPr>
      <w:suppressAutoHyphens w:val="0"/>
      <w:spacing w:before="60" w:line="276" w:lineRule="auto"/>
    </w:pPr>
    <w:rPr>
      <w:rFonts w:ascii="Arial" w:eastAsiaTheme="majorEastAsia" w:hAnsi="Arial" w:cs="Arial"/>
      <w:b w:val="0"/>
      <w:color w:val="1F4E79"/>
      <w:sz w:val="24"/>
      <w:szCs w:val="24"/>
      <w:lang w:val="en-GB" w:eastAsia="de-DE"/>
    </w:rPr>
  </w:style>
  <w:style w:type="character" w:customStyle="1" w:styleId="Heading7Char">
    <w:name w:val="Heading 7 Char"/>
    <w:basedOn w:val="DefaultParagraphFont"/>
    <w:link w:val="Heading7"/>
    <w:uiPriority w:val="99"/>
    <w:rsid w:val="00160910"/>
    <w:rPr>
      <w:rFonts w:eastAsia="Times New Roman" w:cs="Times New Roman"/>
      <w:sz w:val="24"/>
      <w:szCs w:val="24"/>
    </w:rPr>
  </w:style>
  <w:style w:type="character" w:customStyle="1" w:styleId="Heading8Char">
    <w:name w:val="Heading 8 Char"/>
    <w:basedOn w:val="DefaultParagraphFont"/>
    <w:link w:val="Heading8"/>
    <w:uiPriority w:val="99"/>
    <w:semiHidden/>
    <w:rsid w:val="00160910"/>
    <w:rPr>
      <w:rFonts w:eastAsia="Times New Roman" w:cs="Times New Roman"/>
      <w:b/>
      <w:caps/>
      <w:sz w:val="32"/>
      <w:szCs w:val="24"/>
    </w:rPr>
  </w:style>
  <w:style w:type="character" w:customStyle="1" w:styleId="Heading9Char">
    <w:name w:val="Heading 9 Char"/>
    <w:basedOn w:val="DefaultParagraphFont"/>
    <w:link w:val="Heading9"/>
    <w:uiPriority w:val="99"/>
    <w:semiHidden/>
    <w:rsid w:val="00160910"/>
    <w:rPr>
      <w:rFonts w:eastAsia="Times New Roman" w:cs="Times New Roman"/>
      <w:b/>
      <w:bCs/>
      <w:szCs w:val="24"/>
    </w:rPr>
  </w:style>
  <w:style w:type="paragraph" w:styleId="TOCHeading">
    <w:name w:val="TOC Heading"/>
    <w:basedOn w:val="Heading1"/>
    <w:next w:val="Normal"/>
    <w:uiPriority w:val="39"/>
    <w:unhideWhenUsed/>
    <w:qFormat/>
    <w:rsid w:val="00BF335E"/>
    <w:pPr>
      <w:keepLines/>
      <w:shd w:val="clear" w:color="auto" w:fill="auto"/>
      <w:suppressAutoHyphens w:val="0"/>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paragraph" w:styleId="TOC2">
    <w:name w:val="toc 2"/>
    <w:basedOn w:val="Normal"/>
    <w:next w:val="Normal"/>
    <w:autoRedefine/>
    <w:uiPriority w:val="39"/>
    <w:unhideWhenUsed/>
    <w:rsid w:val="00BF335E"/>
    <w:pPr>
      <w:tabs>
        <w:tab w:val="right" w:leader="dot" w:pos="9642"/>
      </w:tabs>
      <w:spacing w:after="100"/>
      <w:ind w:left="200"/>
    </w:pPr>
  </w:style>
  <w:style w:type="paragraph" w:styleId="TOC1">
    <w:name w:val="toc 1"/>
    <w:basedOn w:val="Normal"/>
    <w:next w:val="Normal"/>
    <w:autoRedefine/>
    <w:uiPriority w:val="39"/>
    <w:unhideWhenUsed/>
    <w:rsid w:val="00BF335E"/>
    <w:pPr>
      <w:tabs>
        <w:tab w:val="right" w:leader="dot" w:pos="9642"/>
      </w:tabs>
      <w:spacing w:after="100"/>
    </w:pPr>
  </w:style>
  <w:style w:type="paragraph" w:styleId="TOC3">
    <w:name w:val="toc 3"/>
    <w:basedOn w:val="Normal"/>
    <w:next w:val="Normal"/>
    <w:autoRedefine/>
    <w:uiPriority w:val="39"/>
    <w:unhideWhenUsed/>
    <w:rsid w:val="00BF335E"/>
    <w:pPr>
      <w:spacing w:after="100"/>
      <w:ind w:left="400"/>
    </w:pPr>
  </w:style>
  <w:style w:type="character" w:styleId="FootnoteReference">
    <w:name w:val="footnote reference"/>
    <w:basedOn w:val="DefaultParagraphFont"/>
    <w:uiPriority w:val="99"/>
    <w:semiHidden/>
    <w:unhideWhenUsed/>
    <w:rsid w:val="00CD55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81800">
      <w:bodyDiv w:val="1"/>
      <w:marLeft w:val="0"/>
      <w:marRight w:val="0"/>
      <w:marTop w:val="0"/>
      <w:marBottom w:val="0"/>
      <w:divBdr>
        <w:top w:val="none" w:sz="0" w:space="0" w:color="auto"/>
        <w:left w:val="none" w:sz="0" w:space="0" w:color="auto"/>
        <w:bottom w:val="none" w:sz="0" w:space="0" w:color="auto"/>
        <w:right w:val="none" w:sz="0" w:space="0" w:color="auto"/>
      </w:divBdr>
    </w:div>
    <w:div w:id="1444105625">
      <w:bodyDiv w:val="1"/>
      <w:marLeft w:val="0"/>
      <w:marRight w:val="0"/>
      <w:marTop w:val="0"/>
      <w:marBottom w:val="0"/>
      <w:divBdr>
        <w:top w:val="none" w:sz="0" w:space="0" w:color="auto"/>
        <w:left w:val="none" w:sz="0" w:space="0" w:color="auto"/>
        <w:bottom w:val="none" w:sz="0" w:space="0" w:color="auto"/>
        <w:right w:val="none" w:sz="0" w:space="0" w:color="auto"/>
      </w:divBdr>
    </w:div>
    <w:div w:id="1541360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mplementarepnrr@mfe.gov.ro" TargetMode="External"/><Relationship Id="rId13" Type="http://schemas.openxmlformats.org/officeDocument/2006/relationships/hyperlink" Target="http://proiecte.pnrr.gov.ro" TargetMode="External"/><Relationship Id="rId18" Type="http://schemas.openxmlformats.org/officeDocument/2006/relationships/hyperlink" Target="http://proiecte.pnrr.gov.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fe.gov.ro/pnrr-a-fost-actualizat-indrumarul-metodologic-pentru-beneficiarii-privati-aplicabil-in-derularea-procedurilor-de-achizitie" TargetMode="External"/><Relationship Id="rId7" Type="http://schemas.openxmlformats.org/officeDocument/2006/relationships/endnotes" Target="endnotes.xml"/><Relationship Id="rId12" Type="http://schemas.openxmlformats.org/officeDocument/2006/relationships/hyperlink" Target="http://proiecte.pnrr.gov.ro" TargetMode="External"/><Relationship Id="rId17" Type="http://schemas.openxmlformats.org/officeDocument/2006/relationships/hyperlink" Target="http://proiecte.pnrr.gov.r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conomie.gov.ro" TargetMode="External"/><Relationship Id="rId20" Type="http://schemas.openxmlformats.org/officeDocument/2006/relationships/hyperlink" Target="http://proiecte.pnrr.gov.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ecte.pnrr.gov.ro" TargetMode="External"/><Relationship Id="rId24" Type="http://schemas.openxmlformats.org/officeDocument/2006/relationships/hyperlink" Target="https://economie.gov.ro/" TargetMode="External"/><Relationship Id="rId5" Type="http://schemas.openxmlformats.org/officeDocument/2006/relationships/webSettings" Target="webSettings.xml"/><Relationship Id="rId15" Type="http://schemas.openxmlformats.org/officeDocument/2006/relationships/hyperlink" Target="https://mfe.gov.ro/category/anunturi-pnrr/" TargetMode="External"/><Relationship Id="rId23" Type="http://schemas.openxmlformats.org/officeDocument/2006/relationships/hyperlink" Target="https://mfe.gov.ro/category/anunturi-pnrr/" TargetMode="External"/><Relationship Id="rId28" Type="http://schemas.openxmlformats.org/officeDocument/2006/relationships/header" Target="header2.xml"/><Relationship Id="rId10" Type="http://schemas.openxmlformats.org/officeDocument/2006/relationships/hyperlink" Target="mailto:contact.implementarepnrr@mfe.gov.ro" TargetMode="External"/><Relationship Id="rId19" Type="http://schemas.openxmlformats.org/officeDocument/2006/relationships/hyperlink" Target="http://proiecte.pnrr.gov.ro"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http://proiecte.pnrr.gov.ro" TargetMode="External"/><Relationship Id="rId22" Type="http://schemas.openxmlformats.org/officeDocument/2006/relationships/hyperlink" Target="https://mfe.gov.ro/wp-content/uploads/2022/07/07054c8608efd34d8e14c5709a1a4b47.pdf"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sfromania.ro/app.php/ro/a/1542/asigur%C4%83tori-%C8%99i-intermediari-principali" TargetMode="External"/><Relationship Id="rId1" Type="http://schemas.openxmlformats.org/officeDocument/2006/relationships/hyperlink" Target="https://www.oecd.org/innovation/frascati-manual-2015-9789264239012-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1D9F5-7E2B-4368-93BD-4003191FF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14995</Words>
  <Characters>86974</Characters>
  <Application>Microsoft Office Word</Application>
  <DocSecurity>0</DocSecurity>
  <Lines>724</Lines>
  <Paragraphs>203</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
      <vt:lpstr>0. CADRUL LEGAL </vt:lpstr>
      <vt:lpstr>1. INFORMAȚII DESPRE APELUL DE PROIECTE </vt:lpstr>
      <vt:lpstr>    1.1.Pilonul, componenta, obiectivul general</vt:lpstr>
      <vt:lpstr>    1.2	Tipul apelului de proiecte, durata, modalitatea și perioada de depunere a pr</vt:lpstr>
      <vt:lpstr>        Calendar orientativ privind apelul de proiecte </vt:lpstr>
      <vt:lpstr>        1.2.2 Definiții</vt:lpstr>
      <vt:lpstr>        1.2.3 Activități eligibile</vt:lpstr>
      <vt:lpstr>        1.2.4 Solicitanți eligibili</vt:lpstr>
      <vt:lpstr>        1.2.5 Alocarea financiară a apelului de proiecte</vt:lpstr>
      <vt:lpstr>        1.2.6 Indicatorii apelului de proiecte</vt:lpstr>
      <vt:lpstr>        1.2.7 Obiectivele subproiectului</vt:lpstr>
      <vt:lpstr>2. AJUTOR DE STAT </vt:lpstr>
      <vt:lpstr>3. ELIGIBILITATEA CHELTUIELILOR </vt:lpstr>
      <vt:lpstr>4. SUSTENABILITATEA PROIECTULUI</vt:lpstr>
      <vt:lpstr>5. COMPLETAREA CERERILOR DE FINANȚARE</vt:lpstr>
      <vt:lpstr>    5.1 Anexe: Cererea de finanțare este însoțită de următoarele documente:</vt:lpstr>
      <vt:lpstr>    5.2 Capacitatea instituțională:</vt:lpstr>
      <vt:lpstr>    5.3 Elaborarea bugetului: </vt:lpstr>
      <vt:lpstr>    5.4 Limba utilizată în completarea cererii de finanțare: </vt:lpstr>
      <vt:lpstr>    Limba utilizată în completarea cererii de finanțare este limba română.</vt:lpstr>
      <vt:lpstr>    5.6 Semnarea cererii de finanțare și a anexelor: </vt:lpstr>
      <vt:lpstr>6. EVALUAREA ȘI SELECȚIA PROIECTELOR</vt:lpstr>
      <vt:lpstr>    6.1. Etapa de verificare a conformității administrative, a eligibilității solici</vt:lpstr>
      <vt:lpstr>    6.2. Retragerea cererii de finanțare</vt:lpstr>
      <vt:lpstr>    6.3. Etapa de selecție a subproiectelor</vt:lpstr>
      <vt:lpstr>    6.4. Depunerea și soluționarea contestațiilor privind verificarea administrativă</vt:lpstr>
      <vt:lpstr>CONTRACTAREA ȘI IMPLEMENTAREA PROIECTELOR</vt:lpstr>
      <vt:lpstr>    7.1. Contractarea proiectelor                                                   </vt:lpstr>
      <vt:lpstr>    7.2 Reguli privind implementarea și monitorizarea proiectelor</vt:lpstr>
      <vt:lpstr>    7.3 Transferul sumelor</vt:lpstr>
      <vt:lpstr>    7.4  Mecanisme de gestionare a riscurilor de implementare</vt:lpstr>
      <vt:lpstr>8. TRANSPARENȚĂ</vt:lpstr>
      <vt:lpstr>9. PREVENIREA NEREGULILOR GRAVE, A DUBLEI FINANȚĂRI</vt:lpstr>
      <vt:lpstr>10. RESPECTAREA PRINCIPIULUI „DE A NU PREJUDICIA ÎN MOD SEMNIFICATIV (DNSH)”</vt:lpstr>
      <vt:lpstr>11. BENEFICIARUL REAL</vt:lpstr>
    </vt:vector>
  </TitlesOfParts>
  <Company/>
  <LinksUpToDate>false</LinksUpToDate>
  <CharactersWithSpaces>101766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dc:description/>
  <cp:lastModifiedBy>Florentin Cotorobai</cp:lastModifiedBy>
  <cp:revision>2</cp:revision>
  <cp:lastPrinted>2023-11-13T07:16:00Z</cp:lastPrinted>
  <dcterms:created xsi:type="dcterms:W3CDTF">2023-11-17T14:10:00Z</dcterms:created>
  <dcterms:modified xsi:type="dcterms:W3CDTF">2023-11-17T14:10:00Z</dcterms:modified>
  <dc:language>en-US</dc:language>
</cp:coreProperties>
</file>